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16" w:rsidRPr="00121825" w:rsidRDefault="008E7416" w:rsidP="008E7416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18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C96FE" wp14:editId="16197202">
            <wp:extent cx="815975" cy="1133475"/>
            <wp:effectExtent l="0" t="0" r="317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16" w:rsidRPr="00121825" w:rsidRDefault="008E7416" w:rsidP="008E7416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8E7416" w:rsidRPr="00121825" w:rsidRDefault="008E7416" w:rsidP="008E7416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8E7416" w:rsidRPr="00121825" w:rsidRDefault="008E7416" w:rsidP="008E74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комиссия</w:t>
      </w:r>
    </w:p>
    <w:p w:rsidR="008E7416" w:rsidRPr="00121825" w:rsidRDefault="008E7416" w:rsidP="008E74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Михайловка</w:t>
      </w:r>
    </w:p>
    <w:p w:rsidR="008E7416" w:rsidRPr="00121825" w:rsidRDefault="008E7416" w:rsidP="008E741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8E7416" w:rsidRPr="00121825" w:rsidRDefault="008E7416" w:rsidP="008E7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2342" w:rsidRPr="00492342" w:rsidRDefault="00492342" w:rsidP="00492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3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ЭКСПЕРТНОЕ ЗАКЛЮЧЕНИЕ</w:t>
      </w:r>
    </w:p>
    <w:p w:rsidR="00492342" w:rsidRPr="00492342" w:rsidRDefault="00492342" w:rsidP="0049234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492342" w:rsidRDefault="006C2DE3" w:rsidP="008E7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2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№27 </w:t>
      </w:r>
      <w:r w:rsidR="00BE2A6E" w:rsidRPr="006C2DE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C2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2A6E" w:rsidRPr="006C2DE3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BE2A6E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BE2A6E" w:rsidRPr="00DD72EC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492342" w:rsidRPr="004923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8E7416" w:rsidRPr="00492342" w:rsidRDefault="008E7416" w:rsidP="008E7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342" w:rsidRPr="00465E11" w:rsidRDefault="00492342" w:rsidP="00492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к  проекту решения Михайловской городской Думы </w:t>
      </w:r>
    </w:p>
    <w:p w:rsidR="00492342" w:rsidRPr="00465E11" w:rsidRDefault="00492342" w:rsidP="004923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«О бюджете городского округа город Михайловка  на 20</w:t>
      </w:r>
      <w:r w:rsidR="0022678C"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 и плановый период 202</w:t>
      </w:r>
      <w:r w:rsidR="0022678C"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202</w:t>
      </w:r>
      <w:r w:rsidR="0022678C"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годов» на первое чтение</w:t>
      </w:r>
    </w:p>
    <w:p w:rsidR="00492342" w:rsidRPr="00465E11" w:rsidRDefault="00492342" w:rsidP="004923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92342" w:rsidRPr="00465E11" w:rsidRDefault="00492342" w:rsidP="007051F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Председатель контрольно-счетной комиссии городского округа город Михайловка  В.Г. Гудкова, консультант КСК </w:t>
      </w:r>
      <w:proofErr w:type="spellStart"/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У.С.Антонцева</w:t>
      </w:r>
      <w:proofErr w:type="spellEnd"/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консультант КСК </w:t>
      </w:r>
      <w:proofErr w:type="spellStart"/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Ю.П.Петрова</w:t>
      </w:r>
      <w:proofErr w:type="spellEnd"/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провели экспертно-аналитическую оценку проекта Решения «О бюджете городского округа город Михайловка на </w:t>
      </w:r>
      <w:r w:rsidR="0022678C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и плановый период 2021 и 2022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годов».</w:t>
      </w:r>
    </w:p>
    <w:p w:rsidR="00492342" w:rsidRDefault="00492342" w:rsidP="008E74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контрольно-счетной комиссии городского округа город Михайловка на проект решения Михайловской городской Думы  «О бюджете городского округа город Михайловка на 20</w:t>
      </w:r>
      <w:r w:rsidR="0022678C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22678C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2678C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подготовлено в соответствии с Бюджетным кодексом Российской Федерации (далее Бюджетный кодекс, БК РФ), Уставом городского округа город Михайловка, Решением Михайловской городской Думы от 31.03.2014 № 867 «Положение о бюджетном процессе в городском округе город</w:t>
      </w:r>
      <w:proofErr w:type="gramEnd"/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Михайловка» (далее Решение о бюджетном процессе), Положением о контрольно-счетной комиссии городского округа город Михайловка и иными </w:t>
      </w:r>
      <w:r w:rsidR="008E7416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актами. </w:t>
      </w:r>
    </w:p>
    <w:p w:rsidR="00BD7606" w:rsidRPr="00465E11" w:rsidRDefault="00BD7606" w:rsidP="008E74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7416" w:rsidRPr="00BD7606" w:rsidRDefault="00492342" w:rsidP="00BD760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7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  <w:r w:rsidR="00BD7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92342" w:rsidRPr="00465E11" w:rsidRDefault="00492342" w:rsidP="007051F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основы рассмотрения проекта бюджета определены Бюджетным кодексом,  Уставом городского округа город Михайловка и Решением о бюджетном процессе.</w:t>
      </w:r>
    </w:p>
    <w:p w:rsidR="00492342" w:rsidRPr="00465E11" w:rsidRDefault="00492342" w:rsidP="007051F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Согласно ст. 25 Решения о бюджетном процессе, проект бюджета городского округа на очередной финансовый год не позднее 15 ноября текущего года вносится администрацией городского округа в городскую Думу. Согласно ст. 27 Решения о бюджетном процессе, Председатель городской Думы в свою очередь, в течение суток направляет проект бюджета в постоянную комиссию Михайловской городской Думы по бюджету, экономике, налогам и предпринимательству для подготовки заключения о соответствии представленных документов и материалов требованиям Положения о бюджетном процессе.</w:t>
      </w:r>
    </w:p>
    <w:p w:rsidR="008E7416" w:rsidRDefault="00492342" w:rsidP="008E7416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Рассматриваемый проект решения и </w:t>
      </w:r>
      <w:r w:rsidR="001E033D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прилагающийся к нему пакет документов,</w:t>
      </w:r>
      <w:r w:rsidR="00F61286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внесены в городскую Думу а</w:t>
      </w:r>
      <w:r w:rsidR="001E033D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дминистрацией городского округа город Михайловка </w:t>
      </w:r>
      <w:r w:rsidR="0083099F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15.11.2019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и направлены в контрольно-счетную комиссию для подготовки экспертного заключения.</w:t>
      </w:r>
    </w:p>
    <w:p w:rsidR="00BD7606" w:rsidRPr="00465E11" w:rsidRDefault="00BD7606" w:rsidP="008E7416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FF1" w:rsidRPr="00BD7606" w:rsidRDefault="00456FF1" w:rsidP="00BD7606">
      <w:pPr>
        <w:pStyle w:val="af9"/>
        <w:numPr>
          <w:ilvl w:val="0"/>
          <w:numId w:val="1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7606">
        <w:rPr>
          <w:rFonts w:ascii="Times New Roman" w:eastAsia="Calibri" w:hAnsi="Times New Roman" w:cs="Times New Roman"/>
          <w:b/>
          <w:sz w:val="24"/>
          <w:szCs w:val="24"/>
        </w:rPr>
        <w:t>Прогноз социально-экономического развития городского округа город</w:t>
      </w:r>
    </w:p>
    <w:p w:rsidR="00456FF1" w:rsidRPr="00BD7606" w:rsidRDefault="00456FF1" w:rsidP="00BD7606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7606">
        <w:rPr>
          <w:rFonts w:ascii="Times New Roman" w:eastAsia="Calibri" w:hAnsi="Times New Roman" w:cs="Times New Roman"/>
          <w:b/>
          <w:sz w:val="24"/>
          <w:szCs w:val="24"/>
        </w:rPr>
        <w:t>Михайловка на 20</w:t>
      </w:r>
      <w:r w:rsidR="0083099F" w:rsidRPr="00BD760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43180" w:rsidRPr="00BD7606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83099F" w:rsidRPr="00BD76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BD7606">
        <w:rPr>
          <w:rFonts w:ascii="Times New Roman" w:eastAsia="Calibri" w:hAnsi="Times New Roman" w:cs="Times New Roman"/>
          <w:b/>
          <w:sz w:val="24"/>
          <w:szCs w:val="24"/>
        </w:rPr>
        <w:t xml:space="preserve"> годы.</w:t>
      </w:r>
    </w:p>
    <w:p w:rsidR="00D00329" w:rsidRPr="00465E11" w:rsidRDefault="007A6328" w:rsidP="008257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прогноз социально-экономического развития городского округа город Михайловка на 20</w:t>
      </w:r>
      <w:r w:rsidR="0083099F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83099F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соответствует основным ориентирам развития экономики Волгоградской области и общероссийским тенденциям</w:t>
      </w:r>
      <w:r w:rsidR="009E3666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71F1" w:rsidRDefault="009E3666" w:rsidP="009F71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0329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рогноз подготовлен на основе сценарных (базовых) условий функционирования экономики Российской Федерации на 2020-2022 годы, рекомендованных Минэкономразвития России, с учетом оценки ожидаемых результатов 2019 года и тенденций развития экономики и социальной сферы в 2020-2022 годах с применением п</w:t>
      </w:r>
      <w:r w:rsidR="009F71F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оказателей инфляции и индексов-</w:t>
      </w:r>
      <w:r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дефляторов</w:t>
      </w:r>
      <w:r w:rsidR="00D00329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предложенных Минэкономразвития России на 2020-2022 годы.</w:t>
      </w:r>
      <w:r w:rsidR="007A6328" w:rsidRPr="00465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400C" w:rsidRPr="007B4208" w:rsidRDefault="009F71F1" w:rsidP="007B42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прогноз социально-экономического развития городского округа на 2020-2022 годы соответствует развитию экономики Российской Федерации, Волгоградской области и общероссийским тенденциям. </w:t>
      </w:r>
      <w:r w:rsidRPr="009F71F1">
        <w:rPr>
          <w:rFonts w:ascii="Times New Roman" w:eastAsia="Calibri" w:hAnsi="Times New Roman" w:cs="Times New Roman"/>
          <w:sz w:val="24"/>
          <w:szCs w:val="24"/>
        </w:rPr>
        <w:t xml:space="preserve">Согласно базовому варианту прогноза социально-экономического развития РФ </w:t>
      </w:r>
      <w:r w:rsidRPr="009F71F1">
        <w:rPr>
          <w:rFonts w:ascii="Times New Roman" w:hAnsi="Times New Roman" w:cs="Times New Roman"/>
          <w:sz w:val="24"/>
          <w:szCs w:val="24"/>
        </w:rPr>
        <w:t>предусматривается замедление в среднесрочной перспективе темпов мирового экономического роста</w:t>
      </w:r>
      <w:r>
        <w:rPr>
          <w:rFonts w:ascii="Times New Roman" w:hAnsi="Times New Roman" w:cs="Times New Roman"/>
          <w:sz w:val="24"/>
          <w:szCs w:val="24"/>
        </w:rPr>
        <w:t xml:space="preserve"> до 2,7 % </w:t>
      </w:r>
      <w:r w:rsidRPr="009F71F1">
        <w:rPr>
          <w:rFonts w:ascii="Times New Roman" w:hAnsi="Times New Roman" w:cs="Times New Roman"/>
          <w:sz w:val="24"/>
          <w:szCs w:val="24"/>
        </w:rPr>
        <w:t xml:space="preserve">в связи с усилением неопределенности относительно международных «правил игры», в частности с </w:t>
      </w:r>
      <w:r w:rsidRPr="007B4208">
        <w:rPr>
          <w:rFonts w:ascii="Times New Roman" w:hAnsi="Times New Roman" w:cs="Times New Roman"/>
          <w:sz w:val="24"/>
          <w:szCs w:val="24"/>
        </w:rPr>
        <w:t>эскалацией торговых</w:t>
      </w:r>
      <w:r w:rsidR="00497BFE">
        <w:rPr>
          <w:rFonts w:ascii="Times New Roman" w:hAnsi="Times New Roman" w:cs="Times New Roman"/>
          <w:sz w:val="24"/>
          <w:szCs w:val="24"/>
        </w:rPr>
        <w:t xml:space="preserve"> конфликтов</w:t>
      </w:r>
      <w:r w:rsidRPr="007B4208">
        <w:rPr>
          <w:rFonts w:ascii="Times New Roman" w:hAnsi="Times New Roman" w:cs="Times New Roman"/>
          <w:sz w:val="24"/>
          <w:szCs w:val="24"/>
        </w:rPr>
        <w:t xml:space="preserve">, а также с окончанием циклического восстановления в европейских странах. </w:t>
      </w:r>
      <w:r w:rsidR="009A401A" w:rsidRPr="007B4208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прогнозе</w:t>
      </w:r>
      <w:r w:rsidR="00E34755" w:rsidRPr="007B4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401A" w:rsidRPr="007B4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РФ, </w:t>
      </w:r>
      <w:r w:rsidR="00B1400C" w:rsidRPr="007B4208">
        <w:rPr>
          <w:rFonts w:ascii="Times New Roman" w:hAnsi="Times New Roman" w:cs="Times New Roman"/>
          <w:sz w:val="24"/>
          <w:szCs w:val="24"/>
        </w:rPr>
        <w:t>ожидается замедление инфляции до 3 % с дальнейшей стабилиза</w:t>
      </w:r>
      <w:r w:rsidR="007B4208" w:rsidRPr="007B4208">
        <w:rPr>
          <w:rFonts w:ascii="Times New Roman" w:hAnsi="Times New Roman" w:cs="Times New Roman"/>
          <w:sz w:val="24"/>
          <w:szCs w:val="24"/>
        </w:rPr>
        <w:t>цией на уровне 4 % до 2024 года, основным фактором является слабый потребительский спрос, прогнозируемый в связи с замедлением темпов потребительского кредитования (по оценке Минэкономразвития России, до 4 %).</w:t>
      </w:r>
    </w:p>
    <w:p w:rsidR="00456FF1" w:rsidRPr="00465E11" w:rsidRDefault="00456FF1" w:rsidP="008257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5E11">
        <w:rPr>
          <w:rFonts w:ascii="Times New Roman" w:eastAsia="Calibri" w:hAnsi="Times New Roman" w:cs="Times New Roman"/>
          <w:sz w:val="24"/>
          <w:szCs w:val="24"/>
        </w:rPr>
        <w:t>Анализ макроэкономических показателей развития городского округа город Ми</w:t>
      </w:r>
      <w:r w:rsidR="00ED5C20" w:rsidRPr="00465E11">
        <w:rPr>
          <w:rFonts w:ascii="Times New Roman" w:eastAsia="Calibri" w:hAnsi="Times New Roman" w:cs="Times New Roman"/>
          <w:sz w:val="24"/>
          <w:szCs w:val="24"/>
        </w:rPr>
        <w:t>хайловка, прогнозируемых на 20</w:t>
      </w:r>
      <w:r w:rsidR="00CF748F" w:rsidRPr="00465E11">
        <w:rPr>
          <w:rFonts w:ascii="Times New Roman" w:eastAsia="Calibri" w:hAnsi="Times New Roman" w:cs="Times New Roman"/>
          <w:sz w:val="24"/>
          <w:szCs w:val="24"/>
        </w:rPr>
        <w:t>20</w:t>
      </w:r>
      <w:r w:rsidR="00ED5C20" w:rsidRPr="00465E11">
        <w:rPr>
          <w:rFonts w:ascii="Times New Roman" w:eastAsia="Calibri" w:hAnsi="Times New Roman" w:cs="Times New Roman"/>
          <w:sz w:val="24"/>
          <w:szCs w:val="24"/>
        </w:rPr>
        <w:t>-202</w:t>
      </w:r>
      <w:r w:rsidR="00CF748F" w:rsidRPr="00465E11">
        <w:rPr>
          <w:rFonts w:ascii="Times New Roman" w:eastAsia="Calibri" w:hAnsi="Times New Roman" w:cs="Times New Roman"/>
          <w:sz w:val="24"/>
          <w:szCs w:val="24"/>
        </w:rPr>
        <w:t>2</w:t>
      </w:r>
      <w:r w:rsidRPr="00465E11">
        <w:rPr>
          <w:rFonts w:ascii="Times New Roman" w:eastAsia="Calibri" w:hAnsi="Times New Roman" w:cs="Times New Roman"/>
          <w:sz w:val="24"/>
          <w:szCs w:val="24"/>
        </w:rPr>
        <w:t xml:space="preserve"> годы, проведен на предмет достоверности основных параметров прогноза, принятых за ос</w:t>
      </w:r>
      <w:r w:rsidR="00ED5C20" w:rsidRPr="00465E11">
        <w:rPr>
          <w:rFonts w:ascii="Times New Roman" w:eastAsia="Calibri" w:hAnsi="Times New Roman" w:cs="Times New Roman"/>
          <w:sz w:val="24"/>
          <w:szCs w:val="24"/>
        </w:rPr>
        <w:t>нову составления проекта на 20</w:t>
      </w:r>
      <w:r w:rsidR="00CF748F" w:rsidRPr="00465E11">
        <w:rPr>
          <w:rFonts w:ascii="Times New Roman" w:eastAsia="Calibri" w:hAnsi="Times New Roman" w:cs="Times New Roman"/>
          <w:sz w:val="24"/>
          <w:szCs w:val="24"/>
        </w:rPr>
        <w:t>20</w:t>
      </w:r>
      <w:r w:rsidR="00ED5C20" w:rsidRPr="00465E11">
        <w:rPr>
          <w:rFonts w:ascii="Times New Roman" w:eastAsia="Calibri" w:hAnsi="Times New Roman" w:cs="Times New Roman"/>
          <w:sz w:val="24"/>
          <w:szCs w:val="24"/>
        </w:rPr>
        <w:t>-202</w:t>
      </w:r>
      <w:r w:rsidR="00CF748F" w:rsidRPr="00465E11">
        <w:rPr>
          <w:rFonts w:ascii="Times New Roman" w:eastAsia="Calibri" w:hAnsi="Times New Roman" w:cs="Times New Roman"/>
          <w:sz w:val="24"/>
          <w:szCs w:val="24"/>
        </w:rPr>
        <w:t>2</w:t>
      </w:r>
      <w:r w:rsidRPr="00465E11">
        <w:rPr>
          <w:rFonts w:ascii="Times New Roman" w:eastAsia="Calibri" w:hAnsi="Times New Roman" w:cs="Times New Roman"/>
          <w:sz w:val="24"/>
          <w:szCs w:val="24"/>
        </w:rPr>
        <w:t xml:space="preserve"> годы, и соответствия прогнозируемых и ожидаемых оценок макроэкономических показателей городского</w:t>
      </w:r>
      <w:r w:rsidR="00ED5C20" w:rsidRPr="00465E11">
        <w:rPr>
          <w:rFonts w:ascii="Times New Roman" w:eastAsia="Calibri" w:hAnsi="Times New Roman" w:cs="Times New Roman"/>
          <w:sz w:val="24"/>
          <w:szCs w:val="24"/>
        </w:rPr>
        <w:t xml:space="preserve"> округа город Михайловка за 201</w:t>
      </w:r>
      <w:r w:rsidR="00CF748F" w:rsidRPr="00465E11">
        <w:rPr>
          <w:rFonts w:ascii="Times New Roman" w:eastAsia="Calibri" w:hAnsi="Times New Roman" w:cs="Times New Roman"/>
          <w:sz w:val="24"/>
          <w:szCs w:val="24"/>
        </w:rPr>
        <w:t>9</w:t>
      </w:r>
      <w:r w:rsidRPr="00465E11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proofErr w:type="gramEnd"/>
      <w:r w:rsidRPr="00465E11">
        <w:rPr>
          <w:rFonts w:ascii="Times New Roman" w:eastAsia="Calibri" w:hAnsi="Times New Roman" w:cs="Times New Roman"/>
          <w:sz w:val="24"/>
          <w:szCs w:val="24"/>
        </w:rPr>
        <w:t xml:space="preserve"> Также, проведено сравнение прогноза с показателями прогноза социально-экономического развития Во</w:t>
      </w:r>
      <w:r w:rsidR="00ED5C20" w:rsidRPr="00465E11">
        <w:rPr>
          <w:rFonts w:ascii="Times New Roman" w:eastAsia="Calibri" w:hAnsi="Times New Roman" w:cs="Times New Roman"/>
          <w:sz w:val="24"/>
          <w:szCs w:val="24"/>
        </w:rPr>
        <w:t>лгоградской области и РФ на 20</w:t>
      </w:r>
      <w:r w:rsidR="00CF748F" w:rsidRPr="00465E11">
        <w:rPr>
          <w:rFonts w:ascii="Times New Roman" w:eastAsia="Calibri" w:hAnsi="Times New Roman" w:cs="Times New Roman"/>
          <w:sz w:val="24"/>
          <w:szCs w:val="24"/>
        </w:rPr>
        <w:t>20-2022</w:t>
      </w:r>
      <w:r w:rsidRPr="00465E11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8E7416" w:rsidRPr="00465E11" w:rsidRDefault="008E7416" w:rsidP="008E74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6D80" w:rsidRPr="00465E11" w:rsidRDefault="00456FF1" w:rsidP="00497B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E11">
        <w:rPr>
          <w:rFonts w:ascii="Times New Roman" w:eastAsia="Calibri" w:hAnsi="Times New Roman" w:cs="Times New Roman"/>
          <w:sz w:val="24"/>
          <w:szCs w:val="24"/>
        </w:rPr>
        <w:t>Динамика макроэ</w:t>
      </w:r>
      <w:r w:rsidR="001002B8" w:rsidRPr="00465E11">
        <w:rPr>
          <w:rFonts w:ascii="Times New Roman" w:eastAsia="Calibri" w:hAnsi="Times New Roman" w:cs="Times New Roman"/>
          <w:sz w:val="24"/>
          <w:szCs w:val="24"/>
        </w:rPr>
        <w:t xml:space="preserve">кономических показателей </w:t>
      </w:r>
      <w:r w:rsidR="00497BFE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="001002B8" w:rsidRPr="00465E11">
        <w:rPr>
          <w:rFonts w:ascii="Times New Roman" w:eastAsia="Calibri" w:hAnsi="Times New Roman" w:cs="Times New Roman"/>
          <w:sz w:val="24"/>
          <w:szCs w:val="24"/>
        </w:rPr>
        <w:t>за 2018 – 2020</w:t>
      </w:r>
      <w:r w:rsidRPr="00465E11">
        <w:rPr>
          <w:rFonts w:ascii="Times New Roman" w:eastAsia="Calibri" w:hAnsi="Times New Roman" w:cs="Times New Roman"/>
          <w:sz w:val="24"/>
          <w:szCs w:val="24"/>
        </w:rPr>
        <w:t xml:space="preserve"> годы, а также результаты сравнительного анализа прогнозируемых и ожидаемых оценок основных макро</w:t>
      </w:r>
      <w:r w:rsidR="00CF4915" w:rsidRPr="00465E11">
        <w:rPr>
          <w:rFonts w:ascii="Times New Roman" w:eastAsia="Calibri" w:hAnsi="Times New Roman" w:cs="Times New Roman"/>
          <w:sz w:val="24"/>
          <w:szCs w:val="24"/>
        </w:rPr>
        <w:t>э</w:t>
      </w:r>
      <w:r w:rsidR="001002B8" w:rsidRPr="00465E11">
        <w:rPr>
          <w:rFonts w:ascii="Times New Roman" w:eastAsia="Calibri" w:hAnsi="Times New Roman" w:cs="Times New Roman"/>
          <w:sz w:val="24"/>
          <w:szCs w:val="24"/>
        </w:rPr>
        <w:t xml:space="preserve">кономических показателей </w:t>
      </w:r>
      <w:r w:rsidRPr="00465E11">
        <w:rPr>
          <w:rFonts w:ascii="Times New Roman" w:eastAsia="Calibri" w:hAnsi="Times New Roman" w:cs="Times New Roman"/>
          <w:sz w:val="24"/>
          <w:szCs w:val="24"/>
        </w:rPr>
        <w:t>п</w:t>
      </w:r>
      <w:r w:rsidR="00C12999" w:rsidRPr="00465E11">
        <w:rPr>
          <w:rFonts w:ascii="Times New Roman" w:eastAsia="Calibri" w:hAnsi="Times New Roman" w:cs="Times New Roman"/>
          <w:sz w:val="24"/>
          <w:szCs w:val="24"/>
        </w:rPr>
        <w:t>редставлены в следующей таблице.</w:t>
      </w:r>
    </w:p>
    <w:p w:rsidR="002B13E5" w:rsidRPr="00DD72EC" w:rsidRDefault="002B13E5" w:rsidP="007601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992"/>
        <w:gridCol w:w="992"/>
        <w:gridCol w:w="994"/>
        <w:gridCol w:w="1841"/>
        <w:gridCol w:w="1702"/>
      </w:tblGrid>
      <w:tr w:rsidR="00CC48C9" w:rsidRPr="00465E11" w:rsidTr="00714E04">
        <w:trPr>
          <w:trHeight w:val="927"/>
        </w:trPr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08" w:type="pct"/>
          </w:tcPr>
          <w:p w:rsidR="00CC48C9" w:rsidRPr="00465E11" w:rsidRDefault="00991AEF" w:rsidP="00487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Отчет 201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C48C9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  <w:p w:rsidR="00CC48C9" w:rsidRPr="00465E11" w:rsidRDefault="00991AEF" w:rsidP="00487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CC48C9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  <w:p w:rsidR="00CC48C9" w:rsidRPr="00465E11" w:rsidRDefault="00CC48C9" w:rsidP="00991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8" w:type="pct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  <w:p w:rsidR="00CC48C9" w:rsidRPr="00465E11" w:rsidRDefault="00991AEF" w:rsidP="00487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C48C9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CC48C9" w:rsidP="00487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Откло</w:t>
            </w:r>
            <w:r w:rsidR="00991AEF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нение</w:t>
            </w:r>
            <w:r w:rsidR="00251F0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оценки </w:t>
            </w:r>
            <w:r w:rsidR="00991AEF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991AEF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 от  </w:t>
            </w:r>
            <w:r w:rsidR="00251F0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факта </w:t>
            </w:r>
            <w:r w:rsidR="00991AEF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870" w:type="pct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Отклонение </w:t>
            </w:r>
          </w:p>
          <w:p w:rsidR="00CC48C9" w:rsidRPr="00465E11" w:rsidRDefault="00CC48C9" w:rsidP="00487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 w:rsidR="00991AEF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гноза 20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991AEF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оценки 201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года</w:t>
            </w:r>
          </w:p>
        </w:tc>
      </w:tr>
      <w:tr w:rsidR="00CC48C9" w:rsidRPr="00465E11" w:rsidTr="00714E04"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" w:type="pct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0" w:type="pct"/>
          </w:tcPr>
          <w:p w:rsidR="00CC48C9" w:rsidRPr="00465E11" w:rsidRDefault="00CC48C9" w:rsidP="00CC4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CC48C9" w:rsidRPr="00465E11" w:rsidTr="00714E04"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Объем отгруженных  товаров собственного производства, выполненных работ и услуг собственными силами, млн. руб.</w:t>
            </w:r>
          </w:p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-индекс промышленного производства</w:t>
            </w:r>
            <w:proofErr w:type="gramStart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08" w:type="pct"/>
          </w:tcPr>
          <w:p w:rsidR="00CC48C9" w:rsidRPr="00465E11" w:rsidRDefault="00DF1A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5671,7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48794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96,1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DF1A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487946" w:rsidP="00487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96</w:t>
            </w:r>
            <w:r w:rsidR="00DF1AC9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DF1A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5421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48794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94</w:t>
            </w:r>
            <w:r w:rsidR="00DF1AC9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8" w:type="pct"/>
          </w:tcPr>
          <w:p w:rsidR="00CC48C9" w:rsidRPr="00465E11" w:rsidRDefault="00DF1A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5551,5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DF1AC9" w:rsidP="00487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251F0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- 1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20,2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48794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2,1</w:t>
            </w:r>
          </w:p>
        </w:tc>
        <w:tc>
          <w:tcPr>
            <w:tcW w:w="870" w:type="pct"/>
          </w:tcPr>
          <w:p w:rsidR="00CC48C9" w:rsidRPr="00465E11" w:rsidRDefault="0048794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+ 129</w:t>
            </w:r>
            <w:r w:rsidR="00251F0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48794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+ 3,5</w:t>
            </w:r>
          </w:p>
        </w:tc>
      </w:tr>
      <w:tr w:rsidR="00CC48C9" w:rsidRPr="00465E11" w:rsidTr="00714E04">
        <w:trPr>
          <w:trHeight w:val="1382"/>
        </w:trPr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Продукция сельского хозяйства в действующих ценах, млн. руб., </w:t>
            </w:r>
          </w:p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- индекс производства продукции сельского хозяйства</w:t>
            </w:r>
            <w:proofErr w:type="gramStart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508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48794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4378,8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1D1D0D" w:rsidP="001D1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  <w:r w:rsidR="00AE16ED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48794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5264,5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AE16ED" w:rsidP="001D1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101,</w:t>
            </w:r>
            <w:r w:rsidR="001D1D0D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48794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4580,5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1D1D0D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508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1D1D0D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4774,1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AE16ED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  <w:r w:rsidR="009238F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1D1D0D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+201</w:t>
            </w:r>
            <w:r w:rsidR="008C726C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1D1D0D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+14</w:t>
            </w:r>
            <w:r w:rsidR="00C44CC4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70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8C726C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  <w:r w:rsidR="001D1D0D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193,6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44CC4" w:rsidP="001D1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+ 0,</w:t>
            </w:r>
            <w:r w:rsidR="001D1D0D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CC48C9" w:rsidRPr="00465E11" w:rsidTr="00714E04"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Оборот розничной торговли в действующих ценах, млн. руб.</w:t>
            </w:r>
          </w:p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 в сопоставимых ценах </w:t>
            </w:r>
          </w:p>
        </w:tc>
        <w:tc>
          <w:tcPr>
            <w:tcW w:w="508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9238F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0549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821,0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  <w:r w:rsidR="009238F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9603</w:t>
            </w:r>
            <w:r w:rsidR="009238F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  <w:r w:rsidR="009238F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9558,0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9238F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508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10199,2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9238F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BE577B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  <w:r w:rsidR="00E05492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737,0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E577B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0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+ 641</w:t>
            </w:r>
            <w:r w:rsidR="00BE577B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48C9" w:rsidRPr="00465E11" w:rsidTr="00714E04">
        <w:trPr>
          <w:trHeight w:val="364"/>
        </w:trPr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Прибыль прибыльных организаций, млн. руб.</w:t>
            </w:r>
          </w:p>
        </w:tc>
        <w:tc>
          <w:tcPr>
            <w:tcW w:w="508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2429,4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3472,6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1597,8</w:t>
            </w:r>
          </w:p>
        </w:tc>
        <w:tc>
          <w:tcPr>
            <w:tcW w:w="508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05492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1613,8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2268A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C076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831,6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2268A" w:rsidP="000C0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+ 1</w:t>
            </w:r>
            <w:r w:rsidR="000C076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CC48C9" w:rsidRPr="00465E11" w:rsidTr="00714E04"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Объём инвестиций, млн. руб.,</w:t>
            </w:r>
          </w:p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 в сопоставимых ценах</w:t>
            </w:r>
          </w:p>
        </w:tc>
        <w:tc>
          <w:tcPr>
            <w:tcW w:w="508" w:type="pct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3834</w:t>
            </w:r>
            <w:r w:rsidR="00C70BA5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0BA5" w:rsidRPr="00465E11" w:rsidRDefault="00C70BA5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245,2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70BA5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76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651,3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70BA5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C076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434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C0766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563BF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508" w:type="pct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2159,5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C0766" w:rsidP="000C0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  <w:r w:rsidR="00C70BA5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0C0766" w:rsidP="00022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-2402,8</w:t>
            </w:r>
          </w:p>
          <w:p w:rsidR="00CC48C9" w:rsidRPr="00465E11" w:rsidRDefault="00CC48C9" w:rsidP="00022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68A" w:rsidRPr="00465E11" w:rsidRDefault="0002268A" w:rsidP="00022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268A" w:rsidRPr="00465E11" w:rsidRDefault="00E563BF" w:rsidP="000226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- 209,6</w:t>
            </w:r>
          </w:p>
        </w:tc>
        <w:tc>
          <w:tcPr>
            <w:tcW w:w="870" w:type="pct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+ 724,8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E563BF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109,1</w:t>
            </w:r>
          </w:p>
        </w:tc>
      </w:tr>
      <w:tr w:rsidR="00CC48C9" w:rsidRPr="00465E11" w:rsidTr="00714E04">
        <w:trPr>
          <w:trHeight w:val="962"/>
        </w:trPr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 реальных денежных доходов населения </w:t>
            </w:r>
            <w:proofErr w:type="gramStart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508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508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- 1,7</w:t>
            </w: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0" w:type="pct"/>
          </w:tcPr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C48C9" w:rsidRPr="00465E11" w:rsidRDefault="00CC48C9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+ 1,7</w:t>
            </w:r>
          </w:p>
        </w:tc>
      </w:tr>
      <w:tr w:rsidR="00CC48C9" w:rsidRPr="00465E11" w:rsidTr="00714E04">
        <w:tc>
          <w:tcPr>
            <w:tcW w:w="1159" w:type="pct"/>
            <w:shd w:val="clear" w:color="auto" w:fill="auto"/>
          </w:tcPr>
          <w:p w:rsidR="00CC48C9" w:rsidRPr="00465E11" w:rsidRDefault="00CC48C9" w:rsidP="00CC48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508" w:type="pct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38,78</w:t>
            </w:r>
            <w:r w:rsidR="005E477A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38,740</w:t>
            </w:r>
          </w:p>
        </w:tc>
        <w:tc>
          <w:tcPr>
            <w:tcW w:w="507" w:type="pct"/>
            <w:shd w:val="clear" w:color="auto" w:fill="auto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38,74</w:t>
            </w:r>
            <w:r w:rsidR="005E477A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pct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38,72</w:t>
            </w:r>
            <w:r w:rsidR="005E477A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1" w:type="pct"/>
            <w:shd w:val="clear" w:color="auto" w:fill="auto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- 0,04</w:t>
            </w:r>
          </w:p>
        </w:tc>
        <w:tc>
          <w:tcPr>
            <w:tcW w:w="870" w:type="pct"/>
          </w:tcPr>
          <w:p w:rsidR="00CC48C9" w:rsidRPr="00465E11" w:rsidRDefault="000C0766" w:rsidP="00022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- 0,</w:t>
            </w:r>
            <w:r w:rsidR="006A3D70" w:rsidRPr="00465E1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</w:tr>
    </w:tbl>
    <w:p w:rsidR="001E12B9" w:rsidRPr="00465E11" w:rsidRDefault="001E12B9" w:rsidP="001E12B9">
      <w:pPr>
        <w:pStyle w:val="Style5"/>
        <w:spacing w:line="240" w:lineRule="auto"/>
        <w:ind w:firstLine="680"/>
        <w:jc w:val="both"/>
      </w:pPr>
    </w:p>
    <w:p w:rsidR="00B272DD" w:rsidRPr="00465E11" w:rsidRDefault="001E12B9" w:rsidP="00B010A2">
      <w:pPr>
        <w:pStyle w:val="Style5"/>
        <w:spacing w:line="276" w:lineRule="auto"/>
        <w:ind w:firstLine="680"/>
        <w:jc w:val="both"/>
      </w:pPr>
      <w:r w:rsidRPr="00465E11">
        <w:t>Из данных, приведенных в таблице</w:t>
      </w:r>
      <w:r w:rsidR="00DE4CDB" w:rsidRPr="00465E11">
        <w:t xml:space="preserve">, видно, что по оценке </w:t>
      </w:r>
      <w:r w:rsidR="00B14D09" w:rsidRPr="00465E11">
        <w:t xml:space="preserve"> 2019</w:t>
      </w:r>
      <w:r w:rsidR="00DE4CDB" w:rsidRPr="00465E11">
        <w:t xml:space="preserve"> года</w:t>
      </w:r>
      <w:r w:rsidRPr="00465E11">
        <w:t xml:space="preserve"> в сравнении с предыдущим годом прогнозируется отрицательная динамика</w:t>
      </w:r>
      <w:r w:rsidR="00B272DD" w:rsidRPr="00465E11">
        <w:t>:</w:t>
      </w:r>
    </w:p>
    <w:p w:rsidR="00B272DD" w:rsidRPr="00465E11" w:rsidRDefault="00B272DD" w:rsidP="00B010A2">
      <w:pPr>
        <w:pStyle w:val="Style5"/>
        <w:spacing w:line="276" w:lineRule="auto"/>
        <w:ind w:firstLine="680"/>
        <w:jc w:val="both"/>
      </w:pPr>
      <w:r w:rsidRPr="00465E11">
        <w:t>-</w:t>
      </w:r>
      <w:r w:rsidR="001E12B9" w:rsidRPr="00465E11">
        <w:t xml:space="preserve"> по </w:t>
      </w:r>
      <w:r w:rsidR="00B14D09" w:rsidRPr="00465E11">
        <w:rPr>
          <w:bCs/>
        </w:rPr>
        <w:t xml:space="preserve">объему  </w:t>
      </w:r>
      <w:r w:rsidR="00B14D09" w:rsidRPr="00465E11">
        <w:rPr>
          <w:rFonts w:eastAsia="Calibri"/>
        </w:rPr>
        <w:t>отгруженных  товаров собственного производства, выполненных работ и услуг собственными силами (-</w:t>
      </w:r>
      <w:r w:rsidR="00B010A2" w:rsidRPr="00465E11">
        <w:rPr>
          <w:rFonts w:eastAsia="Calibri"/>
        </w:rPr>
        <w:t xml:space="preserve"> </w:t>
      </w:r>
      <w:r w:rsidR="00B14D09" w:rsidRPr="00465E11">
        <w:rPr>
          <w:rFonts w:eastAsia="Calibri"/>
        </w:rPr>
        <w:t xml:space="preserve">120,2 </w:t>
      </w:r>
      <w:proofErr w:type="spellStart"/>
      <w:r w:rsidR="00B14D09" w:rsidRPr="00465E11">
        <w:rPr>
          <w:rFonts w:eastAsia="Calibri"/>
        </w:rPr>
        <w:t>млн</w:t>
      </w:r>
      <w:proofErr w:type="gramStart"/>
      <w:r w:rsidR="00B14D09" w:rsidRPr="00465E11">
        <w:rPr>
          <w:rFonts w:eastAsia="Calibri"/>
        </w:rPr>
        <w:t>.р</w:t>
      </w:r>
      <w:proofErr w:type="gramEnd"/>
      <w:r w:rsidR="00B14D09" w:rsidRPr="00465E11">
        <w:rPr>
          <w:rFonts w:eastAsia="Calibri"/>
        </w:rPr>
        <w:t>уб</w:t>
      </w:r>
      <w:proofErr w:type="spellEnd"/>
      <w:r w:rsidR="00B14D09" w:rsidRPr="00465E11">
        <w:rPr>
          <w:rFonts w:eastAsia="Calibri"/>
        </w:rPr>
        <w:t xml:space="preserve">.) </w:t>
      </w:r>
      <w:r w:rsidR="00B14D09" w:rsidRPr="00465E11">
        <w:t xml:space="preserve">и соответственно индекс промышленного производства (- </w:t>
      </w:r>
      <w:r w:rsidR="00B010A2" w:rsidRPr="00465E11">
        <w:t>2,1 %). Причины предполагаемого снижения индекса промышленного производства в Прогнозе СЭР не указаны, но говорится, что основной целью промышленной политики предприятий городского округа является создание условий и активизация факторов, направленных на восстановление спроса на выпускаемую продукцию</w:t>
      </w:r>
      <w:r w:rsidR="0088690E" w:rsidRPr="00465E11">
        <w:t>;</w:t>
      </w:r>
    </w:p>
    <w:p w:rsidR="0088690E" w:rsidRPr="00465E11" w:rsidRDefault="00933719" w:rsidP="002F339E">
      <w:pPr>
        <w:pStyle w:val="Style5"/>
        <w:spacing w:line="276" w:lineRule="auto"/>
        <w:ind w:firstLine="680"/>
        <w:jc w:val="both"/>
      </w:pPr>
      <w:proofErr w:type="gramStart"/>
      <w:r w:rsidRPr="00465E11">
        <w:rPr>
          <w:rFonts w:eastAsia="Calibri"/>
        </w:rPr>
        <w:t xml:space="preserve">- </w:t>
      </w:r>
      <w:r w:rsidRPr="00465E11">
        <w:t>по итогам 2019 года уровень инвестиций в основной капитал на территории городского округа оценивается на уровне 35,6 % от уровня 2018 года</w:t>
      </w:r>
      <w:r w:rsidR="007342C9" w:rsidRPr="00465E11">
        <w:t>,</w:t>
      </w:r>
      <w:r w:rsidRPr="00465E11">
        <w:t xml:space="preserve"> при запланированном росте на момент формирования бюджета</w:t>
      </w:r>
      <w:r w:rsidR="007342C9" w:rsidRPr="00465E11">
        <w:t xml:space="preserve"> городского округа </w:t>
      </w:r>
      <w:r w:rsidRPr="00465E11">
        <w:t xml:space="preserve"> на 2019 год 100,2%</w:t>
      </w:r>
      <w:r w:rsidR="007342C9" w:rsidRPr="00465E11">
        <w:t xml:space="preserve">. </w:t>
      </w:r>
      <w:r w:rsidR="006161CA" w:rsidRPr="00465E11">
        <w:t>Снижение индекса объема инвестиций в 2 раза обусловлено завершением реализации крупного инвестиционного проекта по реконструкции печи №7 на АО «</w:t>
      </w:r>
      <w:proofErr w:type="spellStart"/>
      <w:r w:rsidR="006161CA" w:rsidRPr="00465E11">
        <w:t>Себряковцемент</w:t>
      </w:r>
      <w:proofErr w:type="spellEnd"/>
      <w:r w:rsidR="006161CA" w:rsidRPr="00465E11">
        <w:t>»</w:t>
      </w:r>
      <w:r w:rsidR="00E844CD" w:rsidRPr="00465E11">
        <w:t xml:space="preserve">. </w:t>
      </w:r>
      <w:proofErr w:type="gramEnd"/>
    </w:p>
    <w:p w:rsidR="00B272DD" w:rsidRPr="00465E11" w:rsidRDefault="00B272DD" w:rsidP="00B272DD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5E11">
        <w:t xml:space="preserve">- с </w:t>
      </w:r>
      <w:r w:rsidRPr="00465E11">
        <w:rPr>
          <w:rFonts w:ascii="Times New Roman" w:hAnsi="Times New Roman" w:cs="Times New Roman"/>
          <w:bCs/>
          <w:sz w:val="24"/>
          <w:szCs w:val="24"/>
        </w:rPr>
        <w:t xml:space="preserve">учетом тенденции к уменьшению численности населения трудоспособного возраста снижен </w:t>
      </w:r>
      <w:r w:rsidRPr="00465E11">
        <w:rPr>
          <w:rFonts w:ascii="Times New Roman" w:hAnsi="Times New Roman" w:cs="Times New Roman"/>
          <w:sz w:val="24"/>
          <w:szCs w:val="24"/>
        </w:rPr>
        <w:t xml:space="preserve">показатель среднегодовой численности занятых в экономике (- 0,04 </w:t>
      </w:r>
      <w:proofErr w:type="spellStart"/>
      <w:r w:rsidRPr="00465E1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65E1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65E11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465E11">
        <w:rPr>
          <w:rFonts w:ascii="Times New Roman" w:hAnsi="Times New Roman" w:cs="Times New Roman"/>
          <w:sz w:val="24"/>
          <w:szCs w:val="24"/>
        </w:rPr>
        <w:t>.)</w:t>
      </w:r>
      <w:r w:rsidR="0088690E" w:rsidRPr="00465E11">
        <w:rPr>
          <w:rFonts w:ascii="Times New Roman" w:hAnsi="Times New Roman" w:cs="Times New Roman"/>
          <w:sz w:val="24"/>
          <w:szCs w:val="24"/>
        </w:rPr>
        <w:t>;</w:t>
      </w:r>
      <w:r w:rsidRPr="0046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DD" w:rsidRPr="00465E11" w:rsidRDefault="00B272DD" w:rsidP="00B272DD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5E11">
        <w:rPr>
          <w:rFonts w:ascii="Times New Roman" w:hAnsi="Times New Roman" w:cs="Times New Roman"/>
          <w:sz w:val="24"/>
          <w:szCs w:val="24"/>
        </w:rPr>
        <w:t>- прибыль прибыльных предприятий (- 831,6</w:t>
      </w:r>
      <w:r w:rsidR="0088690E" w:rsidRPr="0046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0E" w:rsidRPr="00465E1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="0088690E" w:rsidRPr="00465E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690E" w:rsidRPr="00465E1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8690E" w:rsidRPr="00465E11">
        <w:rPr>
          <w:rFonts w:ascii="Times New Roman" w:hAnsi="Times New Roman" w:cs="Times New Roman"/>
          <w:sz w:val="24"/>
          <w:szCs w:val="24"/>
        </w:rPr>
        <w:t>.);</w:t>
      </w:r>
    </w:p>
    <w:p w:rsidR="00241BDE" w:rsidRPr="00465E11" w:rsidRDefault="0088690E" w:rsidP="000A0AD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5E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2918" w:rsidRPr="00465E11">
        <w:rPr>
          <w:rFonts w:ascii="Times New Roman" w:hAnsi="Times New Roman" w:cs="Times New Roman"/>
          <w:sz w:val="24"/>
          <w:szCs w:val="24"/>
        </w:rPr>
        <w:t>по оценке 2019 года в городском округе</w:t>
      </w:r>
      <w:r w:rsidR="00932D08" w:rsidRPr="00465E11">
        <w:rPr>
          <w:rFonts w:ascii="Times New Roman" w:hAnsi="Times New Roman" w:cs="Times New Roman"/>
          <w:sz w:val="24"/>
          <w:szCs w:val="24"/>
        </w:rPr>
        <w:t xml:space="preserve"> номинальные денежные доходы на одного жителя увеличатся на 0,8 % к уровню 2018 года</w:t>
      </w:r>
      <w:r w:rsidR="00BF2918" w:rsidRPr="00465E11">
        <w:rPr>
          <w:rFonts w:ascii="Times New Roman" w:hAnsi="Times New Roman" w:cs="Times New Roman"/>
          <w:sz w:val="24"/>
          <w:szCs w:val="24"/>
        </w:rPr>
        <w:t xml:space="preserve"> и составят 15629,88 руб., при этом темп </w:t>
      </w:r>
      <w:r w:rsidR="00932D08" w:rsidRPr="00465E11">
        <w:rPr>
          <w:rFonts w:ascii="Times New Roman" w:hAnsi="Times New Roman" w:cs="Times New Roman"/>
          <w:sz w:val="24"/>
          <w:szCs w:val="24"/>
        </w:rPr>
        <w:t>роста реальных денежных доходов населения снизится на 1,7 % .</w:t>
      </w:r>
    </w:p>
    <w:p w:rsidR="00DE4CDB" w:rsidRPr="00943B3B" w:rsidRDefault="00DE4CDB" w:rsidP="000A0ADB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5E11">
        <w:rPr>
          <w:rFonts w:ascii="Times New Roman" w:eastAsia="Calibri" w:hAnsi="Times New Roman" w:cs="Times New Roman"/>
          <w:sz w:val="24"/>
          <w:szCs w:val="24"/>
        </w:rPr>
        <w:t xml:space="preserve">По оценке 2019 года, </w:t>
      </w:r>
      <w:r w:rsidRPr="00465E11">
        <w:rPr>
          <w:rFonts w:ascii="Times New Roman" w:hAnsi="Times New Roman" w:cs="Times New Roman"/>
          <w:sz w:val="24"/>
          <w:szCs w:val="24"/>
        </w:rPr>
        <w:t xml:space="preserve">в сравнении с предыдущим годом ожидается рост  </w:t>
      </w:r>
      <w:r w:rsidR="001E12B9" w:rsidRPr="00465E11">
        <w:rPr>
          <w:rFonts w:ascii="Times New Roman" w:hAnsi="Times New Roman" w:cs="Times New Roman"/>
          <w:sz w:val="24"/>
          <w:szCs w:val="24"/>
        </w:rPr>
        <w:t>проду</w:t>
      </w:r>
      <w:r w:rsidRPr="00465E11">
        <w:rPr>
          <w:rFonts w:ascii="Times New Roman" w:hAnsi="Times New Roman" w:cs="Times New Roman"/>
          <w:sz w:val="24"/>
          <w:szCs w:val="24"/>
        </w:rPr>
        <w:t>кции сельского хозяйства (+ 201,7</w:t>
      </w:r>
      <w:r w:rsidR="001E12B9" w:rsidRPr="00465E11">
        <w:rPr>
          <w:rFonts w:ascii="Times New Roman" w:hAnsi="Times New Roman" w:cs="Times New Roman"/>
          <w:sz w:val="24"/>
          <w:szCs w:val="24"/>
        </w:rPr>
        <w:t xml:space="preserve"> млн. руб.) </w:t>
      </w:r>
      <w:r w:rsidR="008827EF" w:rsidRPr="00465E11">
        <w:rPr>
          <w:rFonts w:ascii="Times New Roman" w:hAnsi="Times New Roman" w:cs="Times New Roman"/>
          <w:sz w:val="24"/>
          <w:szCs w:val="24"/>
        </w:rPr>
        <w:t>индекс</w:t>
      </w:r>
      <w:r w:rsidR="001E12B9" w:rsidRPr="00465E11">
        <w:rPr>
          <w:rFonts w:ascii="Times New Roman" w:hAnsi="Times New Roman" w:cs="Times New Roman"/>
          <w:sz w:val="24"/>
          <w:szCs w:val="24"/>
        </w:rPr>
        <w:t xml:space="preserve"> п</w:t>
      </w:r>
      <w:r w:rsidR="005C407C" w:rsidRPr="00465E11">
        <w:rPr>
          <w:rFonts w:ascii="Times New Roman" w:hAnsi="Times New Roman" w:cs="Times New Roman"/>
          <w:sz w:val="24"/>
          <w:szCs w:val="24"/>
        </w:rPr>
        <w:t>роизводства</w:t>
      </w:r>
      <w:r w:rsidRPr="00465E11">
        <w:rPr>
          <w:rFonts w:ascii="Times New Roman" w:hAnsi="Times New Roman" w:cs="Times New Roman"/>
          <w:sz w:val="24"/>
          <w:szCs w:val="24"/>
        </w:rPr>
        <w:t xml:space="preserve"> продукции </w:t>
      </w:r>
      <w:r w:rsidR="005C407C" w:rsidRPr="00465E11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r w:rsidRPr="00465E11">
        <w:rPr>
          <w:rFonts w:ascii="Times New Roman" w:hAnsi="Times New Roman" w:cs="Times New Roman"/>
          <w:sz w:val="24"/>
          <w:szCs w:val="24"/>
        </w:rPr>
        <w:t>(+ 14,7</w:t>
      </w:r>
      <w:r w:rsidR="001E12B9" w:rsidRPr="00465E11">
        <w:rPr>
          <w:rFonts w:ascii="Times New Roman" w:hAnsi="Times New Roman" w:cs="Times New Roman"/>
          <w:sz w:val="24"/>
          <w:szCs w:val="24"/>
        </w:rPr>
        <w:t xml:space="preserve"> %)</w:t>
      </w:r>
      <w:r w:rsidR="008827EF" w:rsidRPr="00465E11">
        <w:rPr>
          <w:rFonts w:ascii="Times New Roman" w:hAnsi="Times New Roman" w:cs="Times New Roman"/>
          <w:sz w:val="24"/>
          <w:szCs w:val="24"/>
        </w:rPr>
        <w:t>. На</w:t>
      </w:r>
      <w:r w:rsidR="001E12B9" w:rsidRPr="00465E11">
        <w:rPr>
          <w:rFonts w:ascii="Times New Roman" w:hAnsi="Times New Roman" w:cs="Times New Roman"/>
          <w:sz w:val="24"/>
          <w:szCs w:val="24"/>
        </w:rPr>
        <w:t xml:space="preserve"> </w:t>
      </w:r>
      <w:r w:rsidR="008827EF" w:rsidRPr="00465E11">
        <w:rPr>
          <w:rFonts w:ascii="Times New Roman" w:hAnsi="Times New Roman" w:cs="Times New Roman"/>
          <w:sz w:val="24"/>
          <w:szCs w:val="24"/>
        </w:rPr>
        <w:t>увеличение продукции сельского хозяйства повлияли благоприятные погодные условия и  использование новых, более продуктивных сортов семян с высокими посевными качествами и сортовой чистотой.  В сфере животноводства фактическое производство мяса скота и птицы на убой в хозяйствах всех категорий</w:t>
      </w:r>
      <w:r w:rsidR="00F81C8E" w:rsidRPr="00465E11">
        <w:rPr>
          <w:rFonts w:ascii="Times New Roman" w:hAnsi="Times New Roman" w:cs="Times New Roman"/>
          <w:sz w:val="24"/>
          <w:szCs w:val="24"/>
        </w:rPr>
        <w:t>,</w:t>
      </w:r>
      <w:r w:rsidR="008827EF" w:rsidRPr="00465E11">
        <w:rPr>
          <w:rFonts w:ascii="Times New Roman" w:hAnsi="Times New Roman" w:cs="Times New Roman"/>
          <w:sz w:val="24"/>
          <w:szCs w:val="24"/>
        </w:rPr>
        <w:t xml:space="preserve"> в первом полугодии 2019 года увеличилось на 7,0 %  относител</w:t>
      </w:r>
      <w:r w:rsidR="008827EF">
        <w:rPr>
          <w:rFonts w:ascii="Times New Roman" w:hAnsi="Times New Roman" w:cs="Times New Roman"/>
          <w:sz w:val="24"/>
          <w:szCs w:val="24"/>
        </w:rPr>
        <w:t>ьно аналогичного</w:t>
      </w:r>
      <w:r w:rsidR="00DF03B5">
        <w:rPr>
          <w:rFonts w:ascii="Times New Roman" w:hAnsi="Times New Roman" w:cs="Times New Roman"/>
          <w:sz w:val="24"/>
          <w:szCs w:val="24"/>
        </w:rPr>
        <w:t xml:space="preserve"> периода 2018 года.</w:t>
      </w:r>
    </w:p>
    <w:p w:rsidR="00DE4CDB" w:rsidRPr="002B13E5" w:rsidRDefault="00DE4CDB" w:rsidP="00825787">
      <w:pPr>
        <w:pStyle w:val="Style5"/>
        <w:spacing w:line="276" w:lineRule="auto"/>
        <w:ind w:firstLine="680"/>
        <w:jc w:val="both"/>
        <w:rPr>
          <w:highlight w:val="yellow"/>
        </w:rPr>
      </w:pPr>
    </w:p>
    <w:p w:rsidR="005F2456" w:rsidRPr="00943B3B" w:rsidRDefault="00CC3A73" w:rsidP="000A0AD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прогнозу</w:t>
      </w:r>
      <w:r w:rsidR="005F2456" w:rsidRPr="00943B3B">
        <w:rPr>
          <w:rFonts w:ascii="Times New Roman" w:hAnsi="Times New Roman" w:cs="Times New Roman"/>
          <w:sz w:val="24"/>
          <w:szCs w:val="24"/>
        </w:rPr>
        <w:t xml:space="preserve"> макроэкономические условия развития городского округа город Михайлов</w:t>
      </w:r>
      <w:r w:rsidR="00943B3B" w:rsidRPr="00943B3B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до 2022 года</w:t>
      </w:r>
      <w:r w:rsidR="00943B3B" w:rsidRPr="00943B3B">
        <w:rPr>
          <w:rFonts w:ascii="Times New Roman" w:hAnsi="Times New Roman" w:cs="Times New Roman"/>
          <w:sz w:val="24"/>
          <w:szCs w:val="24"/>
        </w:rPr>
        <w:t xml:space="preserve"> ха</w:t>
      </w:r>
      <w:r>
        <w:rPr>
          <w:rFonts w:ascii="Times New Roman" w:hAnsi="Times New Roman" w:cs="Times New Roman"/>
          <w:sz w:val="24"/>
          <w:szCs w:val="24"/>
        </w:rPr>
        <w:t>рактеризуются ростом</w:t>
      </w:r>
      <w:r w:rsidR="005F2456" w:rsidRPr="00943B3B">
        <w:rPr>
          <w:rFonts w:ascii="Times New Roman" w:hAnsi="Times New Roman" w:cs="Times New Roman"/>
          <w:sz w:val="24"/>
          <w:szCs w:val="24"/>
        </w:rPr>
        <w:t xml:space="preserve"> макроэкономических пок</w:t>
      </w:r>
      <w:r>
        <w:rPr>
          <w:rFonts w:ascii="Times New Roman" w:hAnsi="Times New Roman" w:cs="Times New Roman"/>
          <w:sz w:val="24"/>
          <w:szCs w:val="24"/>
        </w:rPr>
        <w:t>азателей. Снижение темпа</w:t>
      </w:r>
      <w:r w:rsidR="00943B3B" w:rsidRPr="00943B3B">
        <w:rPr>
          <w:rFonts w:ascii="Times New Roman" w:hAnsi="Times New Roman" w:cs="Times New Roman"/>
          <w:sz w:val="24"/>
          <w:szCs w:val="24"/>
        </w:rPr>
        <w:t xml:space="preserve"> роста</w:t>
      </w:r>
      <w:r w:rsidR="005F2456" w:rsidRPr="00943B3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943B3B" w:rsidRPr="00943B3B"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="00943B3B"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среднегодовой численности занятых в экономике на 20 человек. </w:t>
      </w:r>
    </w:p>
    <w:p w:rsidR="00DC2BD2" w:rsidRPr="002E2D05" w:rsidRDefault="005F2456" w:rsidP="000A0AD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189E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3B3B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D96733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ожидается ежегодный рост обобщающего показателя эко</w:t>
      </w:r>
      <w:r w:rsidR="0095189E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номической деятельности городского округа –</w:t>
      </w:r>
      <w:r w:rsidR="00D96733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89E" w:rsidRPr="002E2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объема отгруженной</w:t>
      </w:r>
      <w:r w:rsidR="00D4718E" w:rsidRPr="002E2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промышленной</w:t>
      </w:r>
      <w:r w:rsidR="0095189E" w:rsidRPr="002E2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продукции</w:t>
      </w:r>
      <w:r w:rsidR="00D4718E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</w:t>
      </w:r>
      <w:r w:rsidR="00D96733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номинальном выраже</w:t>
      </w:r>
      <w:r w:rsidR="00943B3B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должен вырасти с 15551,5</w:t>
      </w:r>
      <w:r w:rsidR="00D96733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B3B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 в 2020 году до 15959,2 млн. руб. в 2022</w:t>
      </w:r>
      <w:r w:rsidR="002E2D05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или на </w:t>
      </w:r>
      <w:r w:rsidR="0095189E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2D05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95189E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2E2D05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2020-2022</w:t>
      </w:r>
      <w:r w:rsidR="00D96733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темп роста </w:t>
      </w:r>
      <w:r w:rsidR="0095189E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отгруженной промышленной продукции </w:t>
      </w:r>
      <w:r w:rsidR="00D96733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</w:t>
      </w:r>
      <w:r w:rsidR="002E2D05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поставимых ценах) составит 100,8;</w:t>
      </w:r>
      <w:proofErr w:type="gramEnd"/>
      <w:r w:rsidR="002E2D05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100,9 и 101,8 процента</w:t>
      </w:r>
      <w:r w:rsidR="00D96733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4653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промышленной политики предприятий городского округа является создание условий и активизация факторов, направленных на восстановление </w:t>
      </w:r>
      <w:r w:rsidR="002E2D05" w:rsidRPr="002E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спроса на выпускаемую продукцию, модернизация действующих производств, внедрение современных ресурсосберегающих и экологически безопасных технологий. </w:t>
      </w:r>
    </w:p>
    <w:p w:rsidR="000A0ADB" w:rsidRDefault="000B0214" w:rsidP="000A0ADB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инвестиционные вложения в эко</w:t>
      </w:r>
      <w:r w:rsidR="002405CE" w:rsidRPr="002405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номику городского округа в  2020-2022</w:t>
      </w:r>
      <w:r w:rsidRPr="0024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будут расти: </w:t>
      </w:r>
      <w:r w:rsidRPr="002405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объем инвестиций</w:t>
      </w:r>
      <w:r w:rsidRPr="0024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увеличится в течение  </w:t>
      </w:r>
      <w:r w:rsidR="002405CE" w:rsidRPr="00240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прогнозируемого периода с 2159,5 млн. руб. до 2875,4</w:t>
      </w:r>
      <w:r w:rsidRPr="0024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05C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прогнозируемом периоде </w:t>
      </w:r>
      <w:r w:rsidR="00231B6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реализация 6 крупных</w:t>
      </w:r>
      <w:r w:rsidR="00DC2BD2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проектов с общим объемом инвестиций </w:t>
      </w:r>
      <w:r w:rsidR="00231B6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5,6 </w:t>
      </w:r>
      <w:proofErr w:type="spellStart"/>
      <w:r w:rsidR="00231B6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Start"/>
      <w:r w:rsidR="00231B6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31B6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231B6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6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C41D4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</w:t>
      </w:r>
      <w:r w:rsidR="00231B6E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 </w:t>
      </w:r>
      <w:r w:rsidR="00DC2BD2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мест. </w:t>
      </w:r>
      <w:r w:rsidR="005264A4" w:rsidRP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прогнозе отмечено, что в 2019 году городскому округу город Михайловка присвоен статус территории опережающего соц</w:t>
      </w:r>
      <w:r w:rsid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иально-экономического развития, который позволяет юридическим лицам воспользоваться налоговыми льготами,</w:t>
      </w:r>
      <w:r w:rsidR="00F7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 привлекательность городского округа для ведения бизнеса и </w:t>
      </w:r>
      <w:r w:rsidR="00F761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 w:rsidR="0052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инвесторов. </w:t>
      </w:r>
    </w:p>
    <w:p w:rsidR="00894324" w:rsidRDefault="001C2FC6" w:rsidP="007B5012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продукции сельского хозяйства</w:t>
      </w:r>
      <w:r w:rsidRPr="0055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прогнозом СЭР</w:t>
      </w:r>
      <w:r w:rsidR="0055777B" w:rsidRPr="0055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от 4774,1 млн. руб. в 2020 году до 5275,8 млн. руб. в 2022</w:t>
      </w:r>
      <w:r w:rsidRPr="0055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индекс производства продукции сельского хозяйства зап</w:t>
      </w:r>
      <w:r w:rsidR="0055777B" w:rsidRPr="00557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 в размере 101,4; 101,8 и 101,9</w:t>
      </w:r>
      <w:r w:rsidRPr="0055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по годам</w:t>
      </w:r>
      <w:r w:rsidR="005B59F7" w:rsidRPr="0055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577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пределяющее влияние на формирование индекса производства продукции сельского хозяйства оказывает производство </w:t>
      </w:r>
      <w:r w:rsidRPr="00ED2C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продукции растение</w:t>
      </w:r>
      <w:r w:rsidR="0055777B" w:rsidRPr="00ED2CC6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водства, которое составляет 76,9</w:t>
      </w:r>
      <w:r w:rsidRPr="00ED2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общего количества сельхозугодий.</w:t>
      </w:r>
      <w:r w:rsidR="005B59F7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растениеводства предполагается за счет </w:t>
      </w:r>
      <w:r w:rsidR="00ED2CC6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площади посева, засеваемой элитными семенами.</w:t>
      </w:r>
      <w:r w:rsidR="007B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CC6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40E67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ивотноводство</w:t>
      </w:r>
      <w:r w:rsidR="00ED2CC6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</w:t>
      </w:r>
      <w:r w:rsidR="00E40E67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двумя свиноводческими фермами, крестьянскими хозяйствами и гражданами, ведущими личные подсобные хозяйства</w:t>
      </w:r>
      <w:r w:rsidR="00894324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CC6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CC6" w:rsidRPr="00ED2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Планируется производство мяса с 5365,0 тонн в 2020 </w:t>
      </w:r>
      <w:r w:rsidR="00BC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до 5379,0 тонн в 2022 году, производство молока с 11,51 </w:t>
      </w:r>
      <w:proofErr w:type="spellStart"/>
      <w:r w:rsidR="00BC06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BC06F9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BC0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="00BC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до 11,55 </w:t>
      </w:r>
      <w:proofErr w:type="spellStart"/>
      <w:r w:rsidR="00BC06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тыс.тонн</w:t>
      </w:r>
      <w:proofErr w:type="spellEnd"/>
      <w:r w:rsidR="00BC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году. </w:t>
      </w:r>
    </w:p>
    <w:p w:rsidR="00BF2918" w:rsidRPr="00FF27A6" w:rsidRDefault="00BF2918" w:rsidP="00E5186F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прогнозом</w:t>
      </w:r>
      <w:r w:rsidR="002757EA" w:rsidRPr="00E5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роста</w:t>
      </w:r>
      <w:r w:rsidRPr="00E5186F">
        <w:rPr>
          <w:rFonts w:ascii="Times New Roman" w:hAnsi="Times New Roman" w:cs="Times New Roman"/>
          <w:sz w:val="24"/>
          <w:szCs w:val="24"/>
        </w:rPr>
        <w:t xml:space="preserve"> реальных располагаемых денежных доходов населения</w:t>
      </w:r>
      <w:r w:rsidRPr="00E5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86F" w:rsidRPr="00E5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2019 года понижается на 1,7 %</w:t>
      </w:r>
      <w:r w:rsidR="00E5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прогнозируемом периоде за счет роста заработной платы, увеличения пенсий и социальных выплат планируется рост реальных денежных доходов населения с 101,6 % в 2020 году до 102,1 % в 2022 год. </w:t>
      </w:r>
      <w:r w:rsidR="00E5186F" w:rsidRPr="00FF27A6">
        <w:rPr>
          <w:rFonts w:ascii="Times New Roman" w:hAnsi="Times New Roman" w:cs="Times New Roman"/>
          <w:sz w:val="24"/>
          <w:szCs w:val="24"/>
        </w:rPr>
        <w:t>При этом расходы населения на оплату обязательных платежей растут опережающими</w:t>
      </w:r>
      <w:r w:rsidR="007E2E1B">
        <w:rPr>
          <w:rFonts w:ascii="Times New Roman" w:hAnsi="Times New Roman" w:cs="Times New Roman"/>
          <w:sz w:val="24"/>
          <w:szCs w:val="24"/>
        </w:rPr>
        <w:t xml:space="preserve"> темпами, </w:t>
      </w:r>
      <w:r w:rsidR="0052442C" w:rsidRPr="00FF27A6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E5186F" w:rsidRPr="00FF27A6">
        <w:rPr>
          <w:rFonts w:ascii="Times New Roman" w:hAnsi="Times New Roman" w:cs="Times New Roman"/>
          <w:sz w:val="24"/>
          <w:szCs w:val="24"/>
        </w:rPr>
        <w:t>полагает, что прогнозируемые темпы роста реальных доходов населения завышены.</w:t>
      </w:r>
    </w:p>
    <w:p w:rsidR="00456FF1" w:rsidRDefault="001E08B3" w:rsidP="00663A6A">
      <w:pPr>
        <w:suppressAutoHyphens/>
        <w:spacing w:after="0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663A6A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456FF1" w:rsidRPr="00663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уменьшение среднегодовой </w:t>
      </w:r>
      <w:r w:rsidR="00456FF1" w:rsidRPr="00663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численности занятых в экономике</w:t>
      </w:r>
      <w:r w:rsidR="00456FF1" w:rsidRPr="00663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оказывает влияние </w:t>
      </w:r>
      <w:r w:rsidR="00456FF1" w:rsidRPr="00663A6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тенденция к снижению численности населе</w:t>
      </w:r>
      <w:r w:rsidR="00663A6A" w:rsidRPr="00663A6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ния в трудоспособном возрасте и к 2022 году </w:t>
      </w:r>
      <w:r w:rsidR="00456FF1" w:rsidRPr="00663A6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прогнозируется снижение численности экономиче</w:t>
      </w:r>
      <w:r w:rsidR="00336091" w:rsidRPr="00663A6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ски активного населения</w:t>
      </w:r>
      <w:r w:rsidR="00663A6A" w:rsidRPr="00663A6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="00336091" w:rsidRPr="00663A6A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до 38700 чел. </w:t>
      </w:r>
    </w:p>
    <w:p w:rsidR="00F94CD4" w:rsidRDefault="00C74B52" w:rsidP="00F94CD4">
      <w:pPr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4B52">
        <w:rPr>
          <w:rFonts w:ascii="Times New Roman" w:hAnsi="Times New Roman" w:cs="Times New Roman"/>
          <w:sz w:val="24"/>
          <w:szCs w:val="24"/>
        </w:rPr>
        <w:t xml:space="preserve">Темп роста показателей потребительского спроса на протяжении всего прогнозируемого периода </w:t>
      </w:r>
      <w:r>
        <w:rPr>
          <w:rFonts w:ascii="Times New Roman" w:hAnsi="Times New Roman" w:cs="Times New Roman"/>
          <w:sz w:val="24"/>
          <w:szCs w:val="24"/>
        </w:rPr>
        <w:t>остается неизменным</w:t>
      </w:r>
      <w:r w:rsidR="00F94CD4">
        <w:rPr>
          <w:rFonts w:ascii="Times New Roman" w:hAnsi="Times New Roman" w:cs="Times New Roman"/>
          <w:sz w:val="24"/>
          <w:szCs w:val="24"/>
        </w:rPr>
        <w:t>: р</w:t>
      </w:r>
      <w:r w:rsidRPr="00C74B52">
        <w:rPr>
          <w:rFonts w:ascii="Times New Roman" w:hAnsi="Times New Roman" w:cs="Times New Roman"/>
          <w:sz w:val="24"/>
          <w:szCs w:val="24"/>
        </w:rPr>
        <w:t>ост оборота розничной торговли прогнозируется на уровне</w:t>
      </w:r>
      <w:r w:rsidR="00F94CD4">
        <w:rPr>
          <w:rFonts w:ascii="Times New Roman" w:hAnsi="Times New Roman" w:cs="Times New Roman"/>
          <w:sz w:val="24"/>
          <w:szCs w:val="24"/>
        </w:rPr>
        <w:t xml:space="preserve"> 103,0 % к предыдущему году;</w:t>
      </w:r>
      <w:r w:rsidRPr="00C74B52">
        <w:rPr>
          <w:rFonts w:ascii="Times New Roman" w:hAnsi="Times New Roman" w:cs="Times New Roman"/>
          <w:sz w:val="24"/>
          <w:szCs w:val="24"/>
        </w:rPr>
        <w:t xml:space="preserve"> рост оборота общественного питания прогнозируется на уровне</w:t>
      </w:r>
      <w:r w:rsidR="00F94CD4">
        <w:rPr>
          <w:rFonts w:ascii="Times New Roman" w:hAnsi="Times New Roman" w:cs="Times New Roman"/>
          <w:sz w:val="24"/>
          <w:szCs w:val="24"/>
        </w:rPr>
        <w:t xml:space="preserve"> 106,0 % к предыдущему году. </w:t>
      </w:r>
      <w:r w:rsidR="00F94CD4" w:rsidRPr="00F94CD4">
        <w:rPr>
          <w:rFonts w:ascii="Times New Roman" w:hAnsi="Times New Roman" w:cs="Times New Roman"/>
          <w:sz w:val="24"/>
          <w:szCs w:val="24"/>
        </w:rPr>
        <w:t>При этом в абсолютных ценах эти показатели увеличатся и составят:</w:t>
      </w:r>
    </w:p>
    <w:p w:rsidR="00784EB2" w:rsidRDefault="00F94CD4" w:rsidP="00F94CD4">
      <w:pPr>
        <w:suppressAutoHyphens/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84EB2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456FF1" w:rsidRPr="007D1875">
        <w:rPr>
          <w:rFonts w:ascii="Times New Roman" w:eastAsia="Calibri" w:hAnsi="Times New Roman" w:cs="Times New Roman"/>
          <w:i/>
          <w:sz w:val="24"/>
          <w:szCs w:val="24"/>
        </w:rPr>
        <w:t>борот ро</w:t>
      </w:r>
      <w:r w:rsidR="0024310E" w:rsidRPr="007D1875">
        <w:rPr>
          <w:rFonts w:ascii="Times New Roman" w:eastAsia="Calibri" w:hAnsi="Times New Roman" w:cs="Times New Roman"/>
          <w:i/>
          <w:sz w:val="24"/>
          <w:szCs w:val="24"/>
        </w:rPr>
        <w:t>зничной торговли</w:t>
      </w:r>
      <w:r w:rsidR="007D1875" w:rsidRPr="007D1875">
        <w:rPr>
          <w:rFonts w:ascii="Times New Roman" w:eastAsia="Calibri" w:hAnsi="Times New Roman" w:cs="Times New Roman"/>
          <w:sz w:val="24"/>
          <w:szCs w:val="24"/>
        </w:rPr>
        <w:t xml:space="preserve">  по оценке 2019 года составит 9558,0 </w:t>
      </w:r>
      <w:proofErr w:type="spellStart"/>
      <w:r w:rsidR="007D1875" w:rsidRPr="007D1875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="007D1875" w:rsidRPr="007D1875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7D1875" w:rsidRPr="007D1875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7D1875" w:rsidRPr="007D1875">
        <w:rPr>
          <w:rFonts w:ascii="Times New Roman" w:eastAsia="Calibri" w:hAnsi="Times New Roman" w:cs="Times New Roman"/>
          <w:sz w:val="24"/>
          <w:szCs w:val="24"/>
        </w:rPr>
        <w:t xml:space="preserve">., что на 737,0 </w:t>
      </w:r>
      <w:proofErr w:type="spellStart"/>
      <w:r w:rsidR="007D1875" w:rsidRPr="007D1875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="007D1875" w:rsidRPr="007D1875">
        <w:rPr>
          <w:rFonts w:ascii="Times New Roman" w:eastAsia="Calibri" w:hAnsi="Times New Roman" w:cs="Times New Roman"/>
          <w:sz w:val="24"/>
          <w:szCs w:val="24"/>
        </w:rPr>
        <w:t>. выше 2018</w:t>
      </w:r>
      <w:r w:rsidR="00456FF1" w:rsidRPr="007D187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84EB2">
        <w:rPr>
          <w:rFonts w:ascii="Times New Roman" w:eastAsia="Calibri" w:hAnsi="Times New Roman" w:cs="Times New Roman"/>
          <w:sz w:val="24"/>
          <w:szCs w:val="24"/>
        </w:rPr>
        <w:t xml:space="preserve">, далее </w:t>
      </w:r>
      <w:r w:rsidR="00456FF1" w:rsidRPr="0015534B">
        <w:rPr>
          <w:rFonts w:ascii="Times New Roman" w:eastAsia="Calibri" w:hAnsi="Times New Roman" w:cs="Times New Roman"/>
          <w:sz w:val="24"/>
          <w:szCs w:val="24"/>
        </w:rPr>
        <w:t xml:space="preserve">ожидается </w:t>
      </w:r>
      <w:r w:rsidR="0015534B" w:rsidRPr="0015534B">
        <w:rPr>
          <w:rFonts w:ascii="Times New Roman" w:eastAsia="Calibri" w:hAnsi="Times New Roman" w:cs="Times New Roman"/>
          <w:sz w:val="24"/>
          <w:szCs w:val="24"/>
        </w:rPr>
        <w:t>рост данного показателя (+ 641,20</w:t>
      </w:r>
      <w:r w:rsidR="0024310E" w:rsidRPr="00155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6FF1" w:rsidRPr="0015534B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="00456FF1" w:rsidRPr="0015534B">
        <w:rPr>
          <w:rFonts w:ascii="Times New Roman" w:eastAsia="Calibri" w:hAnsi="Times New Roman" w:cs="Times New Roman"/>
          <w:sz w:val="24"/>
          <w:szCs w:val="24"/>
        </w:rPr>
        <w:t>.</w:t>
      </w:r>
      <w:r w:rsidR="0015534B" w:rsidRPr="0015534B">
        <w:rPr>
          <w:rFonts w:ascii="Times New Roman" w:eastAsia="Calibri" w:hAnsi="Times New Roman" w:cs="Times New Roman"/>
          <w:sz w:val="24"/>
          <w:szCs w:val="24"/>
        </w:rPr>
        <w:t xml:space="preserve"> в 2020 году, + 715,70 </w:t>
      </w:r>
      <w:proofErr w:type="spellStart"/>
      <w:r w:rsidR="0015534B" w:rsidRPr="0015534B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="0015534B" w:rsidRPr="0015534B">
        <w:rPr>
          <w:rFonts w:ascii="Times New Roman" w:eastAsia="Calibri" w:hAnsi="Times New Roman" w:cs="Times New Roman"/>
          <w:sz w:val="24"/>
          <w:szCs w:val="24"/>
        </w:rPr>
        <w:t xml:space="preserve">. в 2021, + 765,90 </w:t>
      </w:r>
      <w:proofErr w:type="spellStart"/>
      <w:r w:rsidR="0015534B" w:rsidRPr="0015534B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="0015534B" w:rsidRPr="0015534B">
        <w:rPr>
          <w:rFonts w:ascii="Times New Roman" w:eastAsia="Calibri" w:hAnsi="Times New Roman" w:cs="Times New Roman"/>
          <w:sz w:val="24"/>
          <w:szCs w:val="24"/>
        </w:rPr>
        <w:t>. в 2022</w:t>
      </w:r>
      <w:r w:rsidR="0024310E" w:rsidRPr="0015534B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456FF1" w:rsidRPr="0015534B">
        <w:rPr>
          <w:rFonts w:ascii="Times New Roman" w:eastAsia="Calibri" w:hAnsi="Times New Roman" w:cs="Times New Roman"/>
          <w:sz w:val="24"/>
          <w:szCs w:val="24"/>
        </w:rPr>
        <w:t>)</w:t>
      </w:r>
      <w:r w:rsidR="00784EB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1F8" w:rsidRPr="0015534B" w:rsidRDefault="00784EB2" w:rsidP="005D0273">
      <w:pPr>
        <w:suppressAutoHyphens/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B2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456FF1" w:rsidRPr="00784E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4EB2">
        <w:rPr>
          <w:rFonts w:ascii="Times New Roman" w:eastAsia="Calibri" w:hAnsi="Times New Roman" w:cs="Times New Roman"/>
          <w:i/>
          <w:sz w:val="24"/>
          <w:szCs w:val="24"/>
        </w:rPr>
        <w:t>оборот общественного питания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2019 году составит134,2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что на 13,20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выше 2018 года, в 2020 году (+14,0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.), в 2021 (+15,8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.), в 2022 (+17,5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673B56" w:rsidRPr="002B13E5" w:rsidRDefault="001E08B3" w:rsidP="00825787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43A68">
        <w:rPr>
          <w:rFonts w:ascii="Times New Roman" w:eastAsia="Calibri" w:hAnsi="Times New Roman" w:cs="Times New Roman"/>
          <w:sz w:val="24"/>
          <w:szCs w:val="24"/>
        </w:rPr>
        <w:t>П</w:t>
      </w:r>
      <w:r w:rsidR="00AB223C" w:rsidRPr="00243A68">
        <w:rPr>
          <w:rFonts w:ascii="Times New Roman" w:eastAsia="Calibri" w:hAnsi="Times New Roman" w:cs="Times New Roman"/>
          <w:sz w:val="24"/>
          <w:szCs w:val="24"/>
        </w:rPr>
        <w:t xml:space="preserve">оказатель по обороту малых, </w:t>
      </w:r>
      <w:r w:rsidR="00456FF1" w:rsidRPr="00243A68">
        <w:rPr>
          <w:rFonts w:ascii="Times New Roman" w:eastAsia="Calibri" w:hAnsi="Times New Roman" w:cs="Times New Roman"/>
          <w:sz w:val="24"/>
          <w:szCs w:val="24"/>
        </w:rPr>
        <w:t>средних предприятий</w:t>
      </w:r>
      <w:r w:rsidR="00AB223C" w:rsidRPr="00243A6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AB223C" w:rsidRPr="00243A68">
        <w:rPr>
          <w:rFonts w:ascii="Times New Roman" w:eastAsia="Calibri" w:hAnsi="Times New Roman" w:cs="Times New Roman"/>
          <w:sz w:val="24"/>
          <w:szCs w:val="24"/>
        </w:rPr>
        <w:t>микропредприятий</w:t>
      </w:r>
      <w:proofErr w:type="spellEnd"/>
      <w:r w:rsidR="00AB223C" w:rsidRPr="00243A68">
        <w:rPr>
          <w:rFonts w:ascii="Times New Roman" w:eastAsia="Calibri" w:hAnsi="Times New Roman" w:cs="Times New Roman"/>
          <w:sz w:val="24"/>
          <w:szCs w:val="24"/>
        </w:rPr>
        <w:t xml:space="preserve"> на 2020 год </w:t>
      </w:r>
      <w:r w:rsidR="00302164" w:rsidRPr="00243A68">
        <w:rPr>
          <w:rFonts w:ascii="Times New Roman" w:eastAsia="Calibri" w:hAnsi="Times New Roman" w:cs="Times New Roman"/>
          <w:sz w:val="24"/>
          <w:szCs w:val="24"/>
        </w:rPr>
        <w:t xml:space="preserve">прогнозируется </w:t>
      </w:r>
      <w:r w:rsidR="00AB223C" w:rsidRPr="00243A68">
        <w:rPr>
          <w:rFonts w:ascii="Times New Roman" w:eastAsia="Calibri" w:hAnsi="Times New Roman" w:cs="Times New Roman"/>
          <w:sz w:val="24"/>
          <w:szCs w:val="24"/>
        </w:rPr>
        <w:t>в сумме 16447,90</w:t>
      </w:r>
      <w:r w:rsidR="00243A68" w:rsidRPr="00243A68">
        <w:rPr>
          <w:rFonts w:ascii="Times New Roman" w:eastAsia="Calibri" w:hAnsi="Times New Roman" w:cs="Times New Roman"/>
          <w:sz w:val="24"/>
          <w:szCs w:val="24"/>
        </w:rPr>
        <w:t xml:space="preserve">  млн. руб. или с ростом </w:t>
      </w:r>
      <w:r w:rsidR="00AB223C" w:rsidRPr="00243A68">
        <w:rPr>
          <w:rFonts w:ascii="Times New Roman" w:eastAsia="Calibri" w:hAnsi="Times New Roman" w:cs="Times New Roman"/>
          <w:sz w:val="24"/>
          <w:szCs w:val="24"/>
        </w:rPr>
        <w:t>322</w:t>
      </w:r>
      <w:r w:rsidR="00243A68" w:rsidRPr="00243A68">
        <w:rPr>
          <w:rFonts w:ascii="Times New Roman" w:eastAsia="Calibri" w:hAnsi="Times New Roman" w:cs="Times New Roman"/>
          <w:sz w:val="24"/>
          <w:szCs w:val="24"/>
        </w:rPr>
        <w:t xml:space="preserve">,3 </w:t>
      </w:r>
      <w:proofErr w:type="spellStart"/>
      <w:r w:rsidR="00243A68" w:rsidRPr="00243A68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="00AB223C" w:rsidRPr="00243A6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AB223C" w:rsidRPr="00243A68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AB223C" w:rsidRPr="00243A68">
        <w:rPr>
          <w:rFonts w:ascii="Times New Roman" w:eastAsia="Calibri" w:hAnsi="Times New Roman" w:cs="Times New Roman"/>
          <w:sz w:val="24"/>
          <w:szCs w:val="24"/>
        </w:rPr>
        <w:t>. от ожидаемых поступлений в 2019</w:t>
      </w:r>
      <w:r w:rsidR="00302164" w:rsidRPr="00243A68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  <w:r w:rsidR="00456FF1" w:rsidRPr="00243A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FF1" w:rsidRPr="002B13E5" w:rsidRDefault="00456FF1" w:rsidP="00456F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134"/>
        <w:gridCol w:w="1560"/>
        <w:gridCol w:w="1417"/>
        <w:gridCol w:w="1276"/>
      </w:tblGrid>
      <w:tr w:rsidR="00456FF1" w:rsidRPr="002B13E5" w:rsidTr="005D0273">
        <w:tc>
          <w:tcPr>
            <w:tcW w:w="2694" w:type="dxa"/>
            <w:shd w:val="clear" w:color="auto" w:fill="auto"/>
          </w:tcPr>
          <w:p w:rsidR="00456FF1" w:rsidRPr="00F9312C" w:rsidRDefault="00456FF1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</w:tcPr>
          <w:p w:rsidR="00456FF1" w:rsidRPr="00F9312C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Факт </w:t>
            </w:r>
          </w:p>
          <w:p w:rsidR="00456FF1" w:rsidRPr="00F9312C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  <w:r w:rsidR="00456FF1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456FF1" w:rsidRPr="00F9312C" w:rsidRDefault="00456FF1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Оценка</w:t>
            </w:r>
          </w:p>
          <w:p w:rsidR="00456FF1" w:rsidRPr="00F9312C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2019 </w:t>
            </w:r>
            <w:r w:rsidR="00456FF1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60" w:type="dxa"/>
            <w:shd w:val="clear" w:color="auto" w:fill="auto"/>
          </w:tcPr>
          <w:p w:rsidR="00456FF1" w:rsidRPr="00F9312C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Отклонение </w:t>
            </w:r>
            <w:r w:rsidR="00F9312C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оценки 2019 г к 2018</w:t>
            </w:r>
            <w:r w:rsidR="00456FF1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417" w:type="dxa"/>
            <w:shd w:val="clear" w:color="auto" w:fill="auto"/>
          </w:tcPr>
          <w:p w:rsidR="005D0273" w:rsidRDefault="00F9312C" w:rsidP="00F93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Прогноз </w:t>
            </w:r>
          </w:p>
          <w:p w:rsidR="00456FF1" w:rsidRPr="00F9312C" w:rsidRDefault="00F9312C" w:rsidP="00F93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1E08B3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6FF1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456FF1" w:rsidRPr="00F9312C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Отклонение </w:t>
            </w:r>
            <w:r w:rsidR="00F9312C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  <w:r w:rsidR="001E08B3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6FF1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  <w:p w:rsidR="00456FF1" w:rsidRPr="00F9312C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2019</w:t>
            </w:r>
            <w:r w:rsidR="001E08B3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56FF1" w:rsidRPr="00F9312C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</w:tc>
      </w:tr>
      <w:tr w:rsidR="00456FF1" w:rsidRPr="002B13E5" w:rsidTr="005D0273">
        <w:tc>
          <w:tcPr>
            <w:tcW w:w="2694" w:type="dxa"/>
            <w:shd w:val="clear" w:color="auto" w:fill="auto"/>
          </w:tcPr>
          <w:p w:rsidR="00456FF1" w:rsidRPr="00F9312C" w:rsidRDefault="00E01DBF" w:rsidP="001D3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 w:rsidR="00456FF1"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малых и средних предприятий, включая </w:t>
            </w:r>
            <w:proofErr w:type="spellStart"/>
            <w:r w:rsidR="00456FF1"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="001D37C8"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10FDF"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конец года</w:t>
            </w:r>
            <w:r w:rsidR="001D37C8"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0FDF"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1275" w:type="dxa"/>
          </w:tcPr>
          <w:p w:rsidR="00E01DBF" w:rsidRPr="00F9312C" w:rsidRDefault="00E01DBF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FF1" w:rsidRPr="00F9312C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134" w:type="dxa"/>
            <w:shd w:val="clear" w:color="auto" w:fill="auto"/>
          </w:tcPr>
          <w:p w:rsidR="00E01DBF" w:rsidRPr="00F9312C" w:rsidRDefault="00E01DBF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FF1" w:rsidRPr="00F9312C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560" w:type="dxa"/>
            <w:shd w:val="clear" w:color="auto" w:fill="auto"/>
          </w:tcPr>
          <w:p w:rsidR="00E01DBF" w:rsidRPr="00F9312C" w:rsidRDefault="00E01DBF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FF1" w:rsidRPr="00F9312C" w:rsidRDefault="00E01DBF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+ 1</w:t>
            </w:r>
          </w:p>
        </w:tc>
        <w:tc>
          <w:tcPr>
            <w:tcW w:w="1417" w:type="dxa"/>
            <w:shd w:val="clear" w:color="auto" w:fill="auto"/>
          </w:tcPr>
          <w:p w:rsidR="00E01DBF" w:rsidRPr="00F9312C" w:rsidRDefault="00E01DBF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FF1" w:rsidRPr="00F9312C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4478</w:t>
            </w:r>
          </w:p>
        </w:tc>
        <w:tc>
          <w:tcPr>
            <w:tcW w:w="1276" w:type="dxa"/>
            <w:shd w:val="clear" w:color="auto" w:fill="auto"/>
          </w:tcPr>
          <w:p w:rsidR="00E01DBF" w:rsidRPr="00F9312C" w:rsidRDefault="00E01DBF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6FF1" w:rsidRPr="00F9312C" w:rsidRDefault="00E01DBF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12C">
              <w:rPr>
                <w:rFonts w:ascii="Times New Roman" w:eastAsia="Calibri" w:hAnsi="Times New Roman" w:cs="Times New Roman"/>
                <w:sz w:val="20"/>
                <w:szCs w:val="20"/>
              </w:rPr>
              <w:t>+ 1</w:t>
            </w:r>
          </w:p>
        </w:tc>
      </w:tr>
      <w:tr w:rsidR="00456FF1" w:rsidRPr="002B13E5" w:rsidTr="005D0273">
        <w:tc>
          <w:tcPr>
            <w:tcW w:w="2694" w:type="dxa"/>
            <w:shd w:val="clear" w:color="auto" w:fill="auto"/>
          </w:tcPr>
          <w:p w:rsidR="00456FF1" w:rsidRPr="0016171B" w:rsidRDefault="00456FF1" w:rsidP="001D37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0FDF"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млн. руб.</w:t>
            </w:r>
            <w:r w:rsidR="00610FDF"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56FF1" w:rsidRPr="0016171B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15801,30</w:t>
            </w:r>
          </w:p>
        </w:tc>
        <w:tc>
          <w:tcPr>
            <w:tcW w:w="1134" w:type="dxa"/>
            <w:shd w:val="clear" w:color="auto" w:fill="auto"/>
          </w:tcPr>
          <w:p w:rsidR="00456FF1" w:rsidRPr="0016171B" w:rsidRDefault="00F9312C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16125,60</w:t>
            </w:r>
          </w:p>
        </w:tc>
        <w:tc>
          <w:tcPr>
            <w:tcW w:w="1560" w:type="dxa"/>
            <w:shd w:val="clear" w:color="auto" w:fill="auto"/>
          </w:tcPr>
          <w:p w:rsidR="00456FF1" w:rsidRPr="0016171B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+324,30</w:t>
            </w:r>
          </w:p>
        </w:tc>
        <w:tc>
          <w:tcPr>
            <w:tcW w:w="1417" w:type="dxa"/>
            <w:shd w:val="clear" w:color="auto" w:fill="auto"/>
          </w:tcPr>
          <w:p w:rsidR="00456FF1" w:rsidRPr="0016171B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16447,90</w:t>
            </w:r>
          </w:p>
        </w:tc>
        <w:tc>
          <w:tcPr>
            <w:tcW w:w="1276" w:type="dxa"/>
            <w:shd w:val="clear" w:color="auto" w:fill="auto"/>
          </w:tcPr>
          <w:p w:rsidR="00456FF1" w:rsidRPr="0016171B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 </w:t>
            </w:r>
            <w:r w:rsidR="00AB22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322,3 </w:t>
            </w:r>
          </w:p>
        </w:tc>
      </w:tr>
      <w:tr w:rsidR="00456FF1" w:rsidRPr="002B13E5" w:rsidTr="005D0273">
        <w:tc>
          <w:tcPr>
            <w:tcW w:w="2694" w:type="dxa"/>
            <w:shd w:val="clear" w:color="auto" w:fill="auto"/>
          </w:tcPr>
          <w:p w:rsidR="00456FF1" w:rsidRPr="0016171B" w:rsidRDefault="00456FF1" w:rsidP="001D37C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="001D37C8"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10FDF"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  <w:r w:rsidR="00610FDF"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56FF1" w:rsidRPr="0016171B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5792</w:t>
            </w:r>
          </w:p>
        </w:tc>
        <w:tc>
          <w:tcPr>
            <w:tcW w:w="1134" w:type="dxa"/>
            <w:shd w:val="clear" w:color="auto" w:fill="auto"/>
          </w:tcPr>
          <w:p w:rsidR="00456FF1" w:rsidRPr="0016171B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5792</w:t>
            </w:r>
          </w:p>
        </w:tc>
        <w:tc>
          <w:tcPr>
            <w:tcW w:w="1560" w:type="dxa"/>
            <w:shd w:val="clear" w:color="auto" w:fill="auto"/>
          </w:tcPr>
          <w:p w:rsidR="00456FF1" w:rsidRPr="0016171B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56FF1" w:rsidRPr="0016171B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5792</w:t>
            </w:r>
          </w:p>
        </w:tc>
        <w:tc>
          <w:tcPr>
            <w:tcW w:w="1276" w:type="dxa"/>
            <w:shd w:val="clear" w:color="auto" w:fill="auto"/>
          </w:tcPr>
          <w:p w:rsidR="00456FF1" w:rsidRPr="0016171B" w:rsidRDefault="0016171B" w:rsidP="00456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71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73B56" w:rsidRPr="002B13E5" w:rsidRDefault="00673B56" w:rsidP="00673B5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73EC" w:rsidRPr="0082663F" w:rsidRDefault="006F73EC" w:rsidP="00BD7606">
      <w:pPr>
        <w:pStyle w:val="af9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395C" w:rsidRPr="00BD7606" w:rsidRDefault="00BD7606" w:rsidP="00BD760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6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25395C" w:rsidRPr="00BD7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рассмотрении проекта решения Михайловской городской Думы о бюджете городского округа на очередной финансовый год и плановый период в первом чтении обсуждаются его концепция, прогноз социально-экономического развития городского </w:t>
      </w:r>
      <w:r w:rsidR="0025395C" w:rsidRPr="00BD76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округа и основные направления бюджетной и налоговой </w:t>
      </w:r>
      <w:proofErr w:type="gramStart"/>
      <w:r w:rsidR="0025395C" w:rsidRPr="00BD7606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политики</w:t>
      </w:r>
      <w:proofErr w:type="gramEnd"/>
      <w:r w:rsidR="0025395C" w:rsidRPr="00BD76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очередной финансовый год и плановый период.</w:t>
      </w:r>
    </w:p>
    <w:p w:rsidR="006F73EC" w:rsidRPr="0082663F" w:rsidRDefault="0025395C" w:rsidP="008266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Предметом рассмотрения проекта решения о городском бюджете на очередной финансовый год и плановый период в первом чтении являются основные характеристики бюджета городского округа, к которым относятся:</w:t>
      </w:r>
    </w:p>
    <w:p w:rsidR="006F73EC" w:rsidRPr="0082663F" w:rsidRDefault="006F73EC" w:rsidP="0082663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 общий объем  доходов;</w:t>
      </w:r>
    </w:p>
    <w:p w:rsidR="006F73EC" w:rsidRPr="0082663F" w:rsidRDefault="006F73EC" w:rsidP="0082663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расходов;</w:t>
      </w:r>
    </w:p>
    <w:p w:rsidR="006F73EC" w:rsidRPr="0082663F" w:rsidRDefault="006F73EC" w:rsidP="0082663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дефицит (профицит) бюджета городского округа;</w:t>
      </w:r>
    </w:p>
    <w:p w:rsidR="006F73EC" w:rsidRPr="0082663F" w:rsidRDefault="006F73EC" w:rsidP="0082663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условно утверждаемые расходы в объеме не менее 2,5 % общего объема расходов бюджета городского округа </w:t>
      </w:r>
      <w:r w:rsidRPr="0082663F">
        <w:rPr>
          <w:rFonts w:ascii="Times New Roman" w:eastAsia="Calibri" w:hAnsi="Times New Roman" w:cs="Times New Roman"/>
          <w:sz w:val="24"/>
          <w:szCs w:val="24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первый год планируемого периода и не менее 5 % общего объема расходов </w:t>
      </w:r>
      <w:r w:rsidRPr="0082663F">
        <w:rPr>
          <w:rFonts w:ascii="Times New Roman" w:eastAsia="Calibri" w:hAnsi="Times New Roman" w:cs="Times New Roman"/>
          <w:sz w:val="24"/>
          <w:szCs w:val="24"/>
        </w:rPr>
        <w:t>(без учета расходов бюджета, предусмотренных за счет межбюджетных трансфертов из других бюджетов бюджетной системы Российской</w:t>
      </w:r>
      <w:proofErr w:type="gramEnd"/>
      <w:r w:rsidRPr="008266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2663F">
        <w:rPr>
          <w:rFonts w:ascii="Times New Roman" w:eastAsia="Calibri" w:hAnsi="Times New Roman" w:cs="Times New Roman"/>
          <w:sz w:val="24"/>
          <w:szCs w:val="24"/>
        </w:rPr>
        <w:t xml:space="preserve">Федерации, имеющих целевое назначение) 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второй год планового периода;</w:t>
      </w:r>
      <w:proofErr w:type="gramEnd"/>
    </w:p>
    <w:p w:rsidR="006F73EC" w:rsidRPr="0082663F" w:rsidRDefault="006F73EC" w:rsidP="0082663F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верхний предел муниципального внутреннего долга городского округа по состоянию на   первое января года, следующего за отчетным финансовым годом и каждым годом планового периода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указанием, в том числе верхнего предела долга по муниципальным гарантиям.</w:t>
      </w:r>
    </w:p>
    <w:p w:rsidR="006F73EC" w:rsidRPr="0082663F" w:rsidRDefault="0025395C" w:rsidP="008266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proofErr w:type="gramStart"/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основных параметров бюджета городского округа город Михайловка на 20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характеризуется снижением доходов с 1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672077,8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в 201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до 15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77535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в 20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20 (или 94,3% от уровня 2019 года), в 2021 году –1776369,5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 (или 106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% к уровню 201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в 202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–15</w:t>
      </w:r>
      <w:r w:rsidR="00A606F0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96597,5 тыс. руб. (или 95,5% от уровня 2019</w:t>
      </w:r>
      <w:r w:rsidR="006F73E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года).</w:t>
      </w:r>
      <w:proofErr w:type="gramEnd"/>
    </w:p>
    <w:p w:rsidR="006F73EC" w:rsidRPr="0082663F" w:rsidRDefault="006F73EC" w:rsidP="008266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proofErr w:type="gramStart"/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Основное снижение доходов бюджета городского округа происходит 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уменьшения налоговых и неналоговых доходов (с 799827,0 тыс. руб. в 2019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(ожидаемые поступления) до 7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46708,4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70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3201,1 тыс. руб. и 711273,3 тыс. руб. в 2020, 2021 и 2022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 соответственно), т.е. плановые суммы 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налоговых и неналоговых доходов в 2022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на 1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,0 % ниже ожидаемых поступлений 201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  <w:proofErr w:type="gramEnd"/>
    </w:p>
    <w:p w:rsidR="006F73EC" w:rsidRDefault="006F73EC" w:rsidP="008266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 поступления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городского округа город Михайловка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BC20EC" w:rsidRP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C20EC" w:rsidRP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несколько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уменьшиться, а в плановом периоде 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увеличиться по сравнению с ожидаемыми поступлениями 201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и составить 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95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%, 1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%, 10</w:t>
      </w:r>
      <w:r w:rsidR="0061417B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1,6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соответственно. </w:t>
      </w:r>
    </w:p>
    <w:p w:rsidR="00BC20EC" w:rsidRPr="0082663F" w:rsidRDefault="00BC20EC" w:rsidP="00BC20E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Снижение показателей бюджета на 2020 год обусловлено снижением в абсолютном значении как собственных доходов на 53118,6 тыс. руб.(-6,6%), так и поступлений из вышестоящих бюджетов на 40837,4 тыс. руб. (-4,5%). </w:t>
      </w:r>
    </w:p>
    <w:p w:rsidR="00BC20EC" w:rsidRDefault="006F73EC" w:rsidP="008266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Стоит отметить, что при рассмотрении бюджета </w:t>
      </w:r>
      <w:r w:rsidR="00FA612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на 2019 год (в декабре 2018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 объем доходов оценивался на уровне 1</w:t>
      </w:r>
      <w:r w:rsidR="00FA612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530134,8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рублей, т.е. ниже </w:t>
      </w:r>
      <w:r w:rsidR="00FA612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612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EE187C" w:rsidRPr="0082663F" w:rsidRDefault="00EE187C" w:rsidP="00BC20E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 бюджета городского округа город 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Михайловка в 2020 году прогнозируется в объеме 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94,0% от оценки исполнения бюджета 2019 года (1577535,9 тыс. руб.), в 2021 году – (1776369,5 тыс. руб.) 105,9% от уровня 2019 года, в 2022 году уровень общего объема расходов составит 95,2% (1596597,5 тыс. руб.) к уровню 2019 года. </w:t>
      </w:r>
      <w:proofErr w:type="gramEnd"/>
    </w:p>
    <w:p w:rsidR="00EE187C" w:rsidRPr="0082663F" w:rsidRDefault="00EE187C" w:rsidP="008266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BB1" w:rsidRPr="0082663F" w:rsidRDefault="006F73EC" w:rsidP="008266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  <w:r w:rsid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Целесообразно отметить отсутствие дефицита бюджета городского округа город Михайловка в 20</w:t>
      </w:r>
      <w:r w:rsidR="0005023C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20, 2021 и 2022</w:t>
      </w:r>
      <w:r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Достижение такого результата предполагается за счет сокращения расходов. </w:t>
      </w:r>
      <w:r w:rsidR="009E1BB1" w:rsidRPr="0082663F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Фактически, расходы бюджета городского округа за счет собственных доходных источников 2020 году сформированы на уровне 92,7% от оценки исполнения бюджета 2019 года (746708,4 тыс. руб.), за счет средств вышестоящих бюджетов запланированы на уровне 95,3% от ожидаемой оценки 2019 года (830827,5 тыс. руб.).</w:t>
      </w:r>
      <w:r w:rsidR="0082663F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</w:t>
      </w:r>
    </w:p>
    <w:p w:rsidR="009E1BB1" w:rsidRDefault="009E1BB1" w:rsidP="009E1BB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E7416" w:rsidRPr="00BD7606" w:rsidRDefault="00BD7606" w:rsidP="00BD760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="006F73EC" w:rsidRPr="00BD76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Прогнозируемый общий объем доходов с указанием поступлений  из других бюджетов бюджетной системы  РФ</w:t>
      </w:r>
      <w:r w:rsidRPr="00BD76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6F73EC" w:rsidRPr="000828FC" w:rsidRDefault="00214A11" w:rsidP="0082663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бюджета городского округа город Михайловка на 20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прогнозируются в сумме 15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77535,9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ниже оценки 201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на 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94541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руб., или на 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5,7  %,  на 2021 год  выш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прогноза на 20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  на 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198833,6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(на 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E4F4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1,9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20</w:t>
      </w:r>
      <w:r w:rsidR="00A7621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4E4F4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  <w:r w:rsidR="004E4F4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2022 году  также планируется </w:t>
      </w:r>
      <w:r w:rsidR="00B74B7B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увеличени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е доходов по отношению к 20</w:t>
      </w:r>
      <w:r w:rsidR="004E4F4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на </w:t>
      </w:r>
      <w:r w:rsidR="00B74B7B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19061,6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74B7B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 (+1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,2 %).</w:t>
      </w:r>
    </w:p>
    <w:p w:rsidR="006F73EC" w:rsidRPr="000828FC" w:rsidRDefault="006F73EC" w:rsidP="00826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Структура доходной части городского бюджета на 20</w:t>
      </w:r>
      <w:r w:rsidR="00B74B7B" w:rsidRPr="000828F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20-2022</w:t>
      </w:r>
      <w:r w:rsidRPr="000828F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годы выглядит следующим образом:</w:t>
      </w:r>
      <w:r w:rsidR="0082663F" w:rsidRPr="000828F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proofErr w:type="spellStart"/>
      <w:r w:rsidR="0082663F" w:rsidRPr="000828F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тыс</w:t>
      </w:r>
      <w:proofErr w:type="gramStart"/>
      <w:r w:rsidR="0082663F" w:rsidRPr="000828F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.р</w:t>
      </w:r>
      <w:proofErr w:type="gramEnd"/>
      <w:r w:rsidR="0082663F" w:rsidRPr="000828F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уб</w:t>
      </w:r>
      <w:proofErr w:type="spellEnd"/>
      <w:r w:rsidR="0082663F" w:rsidRPr="000828F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>.</w:t>
      </w:r>
    </w:p>
    <w:tbl>
      <w:tblPr>
        <w:tblpPr w:leftFromText="180" w:rightFromText="180" w:vertAnchor="text" w:horzAnchor="margin" w:tblpY="63"/>
        <w:tblW w:w="5000" w:type="pct"/>
        <w:tblLook w:val="0000" w:firstRow="0" w:lastRow="0" w:firstColumn="0" w:lastColumn="0" w:noHBand="0" w:noVBand="0"/>
      </w:tblPr>
      <w:tblGrid>
        <w:gridCol w:w="2078"/>
        <w:gridCol w:w="1102"/>
        <w:gridCol w:w="699"/>
        <w:gridCol w:w="1103"/>
        <w:gridCol w:w="699"/>
        <w:gridCol w:w="1066"/>
        <w:gridCol w:w="881"/>
        <w:gridCol w:w="1066"/>
        <w:gridCol w:w="877"/>
      </w:tblGrid>
      <w:tr w:rsidR="000828FC" w:rsidRPr="000828FC" w:rsidTr="0082663F">
        <w:trPr>
          <w:cantSplit/>
          <w:trHeight w:hRule="exact" w:val="217"/>
        </w:trPr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2019 года</w:t>
            </w:r>
          </w:p>
        </w:tc>
        <w:tc>
          <w:tcPr>
            <w:tcW w:w="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2021год</w:t>
            </w: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0828FC" w:rsidRPr="000828FC" w:rsidTr="0082663F">
        <w:trPr>
          <w:cantSplit/>
          <w:trHeight w:val="621"/>
        </w:trPr>
        <w:tc>
          <w:tcPr>
            <w:tcW w:w="10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Доля, %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Доля, 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Доля,%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Доля,%</w:t>
            </w:r>
          </w:p>
        </w:tc>
      </w:tr>
      <w:tr w:rsidR="000828FC" w:rsidRPr="000828FC" w:rsidTr="0082663F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Налоговые доходы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674600,4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40,3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627908,4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582237,8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590370,4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37,0</w:t>
            </w:r>
          </w:p>
        </w:tc>
      </w:tr>
      <w:tr w:rsidR="000828FC" w:rsidRPr="000828FC" w:rsidTr="0082663F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Неналоговые доходы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125226,6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118800,0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120963,3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119785,7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</w:t>
            </w:r>
          </w:p>
        </w:tc>
      </w:tr>
      <w:tr w:rsidR="000828FC" w:rsidRPr="000828FC" w:rsidTr="0082663F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872250,8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830827,5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1073168,4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885324,2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55,5</w:t>
            </w:r>
          </w:p>
        </w:tc>
      </w:tr>
      <w:tr w:rsidR="000828FC" w:rsidRPr="000828FC" w:rsidTr="0082663F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0828FC" w:rsidRPr="000828FC" w:rsidTr="0082663F"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1672077,8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1577535,9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1776369,5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1596597,5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3F" w:rsidRPr="000828FC" w:rsidRDefault="0082663F" w:rsidP="00826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28F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6F73EC" w:rsidRPr="000828FC" w:rsidRDefault="006F73EC" w:rsidP="006F7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EC" w:rsidRPr="000828FC" w:rsidRDefault="006F73EC" w:rsidP="007E43B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Согласно приведенным в таблице данным, в 20</w:t>
      </w:r>
      <w:r w:rsidR="0065761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налоговые и неналоговые доходы в структуре доходной базы  бюджета городского округа имеют тенденцию к  </w:t>
      </w:r>
      <w:r w:rsidR="0065761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ю в процентном соотношении. В абсолютном значении налоговые доходы в 20</w:t>
      </w:r>
      <w:r w:rsidR="0065761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планируются </w:t>
      </w:r>
      <w:r w:rsidR="00C57C33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ожидаемой оценки 201</w:t>
      </w:r>
      <w:r w:rsidR="00C57C33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на </w:t>
      </w:r>
      <w:r w:rsidR="00003663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46692</w:t>
      </w:r>
      <w:r w:rsidR="00C57C33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03663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или (</w:t>
      </w:r>
      <w:r w:rsidR="00C57C33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-6,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%). Неналоговые доходы относительно ожидаем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ой оценки поступлений 2019 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снижаются на 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6426,6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(-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5,1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%). </w:t>
      </w:r>
    </w:p>
    <w:p w:rsidR="006F73EC" w:rsidRPr="000828FC" w:rsidRDefault="006F73EC" w:rsidP="007E43B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202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ожидается некоторое 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ение поступлений в доходной части бюджета за счет 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роста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безвозмездных поступлений. 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2022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городском округе город Михайловка Волгоградской области снова прогнозируется 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доходной части горо</w:t>
      </w:r>
      <w:r w:rsidR="00055482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дского бюджета относительно 2021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за счет </w:t>
      </w:r>
      <w:r w:rsidR="005974CF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ения абсолютной величины </w:t>
      </w:r>
      <w:r w:rsidR="005974CF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безвозмездных поступлений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бюджета. </w:t>
      </w:r>
    </w:p>
    <w:p w:rsidR="006F73EC" w:rsidRPr="000828FC" w:rsidRDefault="006F73EC" w:rsidP="007E43B9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Изменяется структура бюджета. Доля налоговых доходов </w:t>
      </w:r>
      <w:r w:rsidR="005974CF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снижа</w:t>
      </w:r>
      <w:r w:rsidR="0093334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 с 39,8 % в 2020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до </w:t>
      </w:r>
      <w:r w:rsidR="0093334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37,0 % в 2022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Доля неналоговых доходов  </w:t>
      </w:r>
      <w:r w:rsidR="0093334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остается на одном уровне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 этом доля безвозмездных поступлений   </w:t>
      </w:r>
      <w:r w:rsidR="0093334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увеличива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ется с </w:t>
      </w:r>
      <w:r w:rsidR="0093334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,7 %  в 201</w:t>
      </w:r>
      <w:r w:rsidR="0093334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до </w:t>
      </w:r>
      <w:r w:rsidR="0093334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55,5 %  в 2022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</w:t>
      </w:r>
    </w:p>
    <w:p w:rsidR="0082663F" w:rsidRPr="000828FC" w:rsidRDefault="006F73EC" w:rsidP="007E43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</w:t>
      </w:r>
      <w:proofErr w:type="gramStart"/>
      <w:r w:rsidRPr="0008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РФ от 07.05.2018 №204 «О национальных целях и стратегических задачах развития Российской Федерации на период до 2024 года» к приоритетным целям развития РФ отнесены: обеспечение устойчивого роста реальных доходов граждан, а также роста уровня пенсионного обеспечения выше уровня инфляции и снижение в два раза уровня бедности в Российской Федерации. </w:t>
      </w:r>
      <w:proofErr w:type="gramEnd"/>
    </w:p>
    <w:p w:rsidR="0082663F" w:rsidRPr="000828FC" w:rsidRDefault="006F73EC" w:rsidP="007E43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Ключевыми приоритетами налоговой политики Волгоградской области в среднесрочной перспективе являются работы по формированию устойчивой доходной базы региона, совершенствование и оптимизация системы налогового администрирования. </w:t>
      </w:r>
    </w:p>
    <w:p w:rsidR="007E43B9" w:rsidRPr="000828FC" w:rsidRDefault="006F73EC" w:rsidP="007E43B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поставленных целей необходимо продолжить политику обоснованности предоставления налоговых льгот с постепенной заменой их, при необходимости, адресными субсидиями экономическим агентам; работу, направленную на взаимовыгодное социально-экономическое сотрудничество с организациями, формирующими налоговый потенциал региона; реализацию мероприятий по легализации скрытой заработной платы, а также мероприятий, направленных на повышение эффективности управления государственной и муниципальной собственностью и увеличение доходов от их использования.</w:t>
      </w:r>
      <w:proofErr w:type="gramEnd"/>
    </w:p>
    <w:p w:rsidR="006F73EC" w:rsidRPr="000828FC" w:rsidRDefault="006F73EC" w:rsidP="000828F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Контрольно-счетной комиссией проведен анализ по налоговым доходам и планируемым поступлениям неналоговых платежей.</w:t>
      </w:r>
    </w:p>
    <w:p w:rsidR="006F73EC" w:rsidRPr="000828FC" w:rsidRDefault="006F73EC" w:rsidP="002E5F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828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Налоговые доходы</w:t>
      </w:r>
    </w:p>
    <w:p w:rsidR="006F73EC" w:rsidRPr="000828FC" w:rsidRDefault="006F73EC" w:rsidP="000828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C5238E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Проектом предусмотрено  сниже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ние   налоговых доходов </w:t>
      </w:r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плановых назначений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 отношению к ожидаемому исполнению 201</w:t>
      </w:r>
      <w:r w:rsidR="00C5238E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на </w:t>
      </w:r>
      <w:r w:rsidR="00C5238E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6,9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или на </w:t>
      </w:r>
      <w:r w:rsidR="00C5238E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46692,0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Основными факторами, повлиявшими на состояние суммы налоговых доходов, являются:</w:t>
      </w:r>
    </w:p>
    <w:p w:rsidR="006F73EC" w:rsidRPr="000828FC" w:rsidRDefault="009B5280" w:rsidP="000828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</w:t>
      </w:r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ие 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единых нормативов отчислений от налога на доходы физических лиц в 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местные бюджеты с 47,3 % до 51,25</w:t>
      </w:r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но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меньшение контингента НДФЛ (-163871</w:t>
      </w:r>
      <w:r w:rsidR="006F73EC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руб.);  </w:t>
      </w:r>
    </w:p>
    <w:p w:rsidR="006F73EC" w:rsidRPr="000828FC" w:rsidRDefault="006F73EC" w:rsidP="000828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уменьшение нормативов отчислений по акцизам городскому округу город Михайловка с 0,6</w:t>
      </w:r>
      <w:r w:rsidR="009B528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366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2018 году до 0,</w:t>
      </w:r>
      <w:r w:rsidR="009B528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5738</w:t>
      </w:r>
      <w:r w:rsidR="003B0A2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но увеличение поступлений по акцизам в консолидированный бюджет Волгоградской области</w:t>
      </w:r>
      <w:r w:rsidR="003B0A21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привести к росту поступлений в бюджет городского округа(+ 829,6 тыс. руб.)</w:t>
      </w:r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F73EC" w:rsidRPr="000828FC" w:rsidRDefault="006F73EC" w:rsidP="000828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увеличение коэффициента-дефлятора К</w:t>
      </w:r>
      <w:proofErr w:type="gramStart"/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расчета налоговой базы по ЕНВД с 1,</w:t>
      </w:r>
      <w:r w:rsidR="009B528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915  до 2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B528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009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B528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снижение количества субъектов предпринимательства влечет за собой сниже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поступлений по налогу на вмененный доход</w:t>
      </w:r>
      <w:r w:rsidR="009B528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.(-9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00,0 тыс. руб.)</w:t>
      </w:r>
    </w:p>
    <w:p w:rsidR="000828FC" w:rsidRPr="000828FC" w:rsidRDefault="006F73EC" w:rsidP="000828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установлены единые</w:t>
      </w:r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нормативы отчислений по налогу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, взимаемому в связи с применением упрощенной системы налогообложения в бюджеты муниципальных районов и городск</w:t>
      </w:r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их округов в размере 5 %</w:t>
      </w: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B5280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(+ 4000</w:t>
      </w:r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</w:t>
      </w:r>
      <w:proofErr w:type="spellStart"/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="00EB3037"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</w:p>
    <w:p w:rsidR="006F73EC" w:rsidRPr="000828FC" w:rsidRDefault="006F73EC" w:rsidP="000828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8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Проанализировав представленную пояснительную записку по налоговым доходам,  комиссия пришла к выводу о том, что  прогноз поступлений налогов составлен обоснованно.</w:t>
      </w:r>
    </w:p>
    <w:p w:rsidR="006F73EC" w:rsidRPr="00FB4325" w:rsidRDefault="006F73EC" w:rsidP="006F73EC">
      <w:pPr>
        <w:tabs>
          <w:tab w:val="left" w:pos="80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828FC" w:rsidRPr="00C276D4" w:rsidRDefault="006F73EC" w:rsidP="002E5F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 на доходы.</w:t>
      </w:r>
    </w:p>
    <w:p w:rsidR="006F73EC" w:rsidRPr="00C276D4" w:rsidRDefault="006F73EC" w:rsidP="000828F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в бюджет городского округа по НДФЛ, согласно пояснительной записке, прогнозируются исходя из оценки ожидаемого поступления налога в 201</w:t>
      </w:r>
      <w:r w:rsidR="00062A6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прогноза фонда оплаты труда в 20</w:t>
      </w:r>
      <w:r w:rsidR="0091308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91308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 с ежегодной индексацией фонда оплаты труда и установленных проектом Закона Волгоградской области об областном бюджете на 20</w:t>
      </w:r>
      <w:r w:rsidR="0091308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91308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дополнительных нормативов отчислений от НДФЛ, использованных при формировании городского бюджета: </w:t>
      </w:r>
      <w:proofErr w:type="gramEnd"/>
    </w:p>
    <w:p w:rsidR="006F73EC" w:rsidRPr="00C276D4" w:rsidRDefault="0091308C" w:rsidP="000828F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в 2020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- 4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11291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 тыс. руб. (-10,0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по отношению к ожидаемым поступлениям 201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в 202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B303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- 4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13950,8 тыс. руб. (+0,6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прогнозу 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202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4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16802,5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(+0,6 % к прогнозу 2021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года).</w:t>
      </w:r>
    </w:p>
    <w:p w:rsidR="006F73EC" w:rsidRPr="00C276D4" w:rsidRDefault="006F73EC" w:rsidP="000828FC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Информация о  нормативах отчислений от налога на доходы физических лиц 201</w:t>
      </w:r>
      <w:r w:rsidR="001D77B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и нормативах, использованных при формировании городского бюджета на 20</w:t>
      </w:r>
      <w:r w:rsidR="001D77B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представлена в следующей таблице:      </w:t>
      </w:r>
    </w:p>
    <w:p w:rsidR="006F73EC" w:rsidRPr="00C276D4" w:rsidRDefault="006F73EC" w:rsidP="006F73EC">
      <w:pPr>
        <w:suppressAutoHyphens/>
        <w:spacing w:after="0" w:line="240" w:lineRule="auto"/>
        <w:ind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%                                                                                                                                           </w:t>
      </w:r>
    </w:p>
    <w:tbl>
      <w:tblPr>
        <w:tblW w:w="4870" w:type="pct"/>
        <w:tblLayout w:type="fixed"/>
        <w:tblLook w:val="0000" w:firstRow="0" w:lastRow="0" w:firstColumn="0" w:lastColumn="0" w:noHBand="0" w:noVBand="0"/>
      </w:tblPr>
      <w:tblGrid>
        <w:gridCol w:w="1235"/>
        <w:gridCol w:w="710"/>
        <w:gridCol w:w="994"/>
        <w:gridCol w:w="994"/>
        <w:gridCol w:w="914"/>
        <w:gridCol w:w="789"/>
        <w:gridCol w:w="854"/>
        <w:gridCol w:w="1134"/>
        <w:gridCol w:w="805"/>
        <w:gridCol w:w="893"/>
      </w:tblGrid>
      <w:tr w:rsidR="00C276D4" w:rsidRPr="00C276D4" w:rsidTr="00BD7606">
        <w:trPr>
          <w:cantSplit/>
          <w:trHeight w:hRule="exact" w:val="562"/>
        </w:trPr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 бюджета</w:t>
            </w:r>
          </w:p>
        </w:tc>
        <w:tc>
          <w:tcPr>
            <w:tcW w:w="1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1D77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Нормативы 201</w:t>
            </w:r>
            <w:r w:rsidR="001D77BA"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6F73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Нормативы, использованные при формировании бюджета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EC" w:rsidRPr="00C276D4" w:rsidRDefault="006F73EC" w:rsidP="006F73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Изменения</w:t>
            </w:r>
          </w:p>
        </w:tc>
      </w:tr>
      <w:tr w:rsidR="00C276D4" w:rsidRPr="00C276D4" w:rsidTr="00BD7606">
        <w:trPr>
          <w:cantSplit/>
          <w:trHeight w:hRule="exact" w:val="1017"/>
        </w:trPr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6F7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БК РФ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Закон№ 2258-ОД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73EC" w:rsidRPr="00C276D4" w:rsidRDefault="006F73EC" w:rsidP="00BD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Дополнительный норматив</w:t>
            </w:r>
          </w:p>
          <w:p w:rsidR="006F73EC" w:rsidRPr="00C276D4" w:rsidRDefault="006F73EC" w:rsidP="00BD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БК РФ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</w:t>
            </w:r>
          </w:p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2258-ОД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73EC" w:rsidRPr="00C276D4" w:rsidRDefault="006F73EC" w:rsidP="00BD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Дополнительный норматив</w:t>
            </w:r>
          </w:p>
          <w:p w:rsidR="006F73EC" w:rsidRPr="00C276D4" w:rsidRDefault="006F73EC" w:rsidP="00BD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BD76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EC" w:rsidRPr="00C276D4" w:rsidRDefault="006F73EC" w:rsidP="006F7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76D4" w:rsidRPr="00C276D4" w:rsidTr="00BD7606"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6F73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округ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6F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3EC" w:rsidRPr="00C276D4" w:rsidRDefault="006F73EC" w:rsidP="006F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73EC" w:rsidRPr="00C276D4" w:rsidRDefault="007A0398" w:rsidP="006F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30,3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7A0398" w:rsidP="006F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47</w:t>
            </w:r>
            <w:r w:rsidR="00356B43"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6F73EC" w:rsidP="006F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15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3EC" w:rsidRPr="00C276D4" w:rsidRDefault="006F73EC" w:rsidP="006F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F73EC" w:rsidRPr="00C276D4" w:rsidRDefault="00356B43" w:rsidP="006F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34,25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EC" w:rsidRPr="00C276D4" w:rsidRDefault="00356B43" w:rsidP="00356B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51,25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EC" w:rsidRPr="00C276D4" w:rsidRDefault="00356B43" w:rsidP="006F7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+3</w:t>
            </w:r>
            <w:r w:rsidR="006F73EC"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  <w:r w:rsidRPr="00C276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6F73EC" w:rsidRPr="00C276D4" w:rsidRDefault="006F73EC" w:rsidP="006F7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6F73EC" w:rsidRPr="00C276D4" w:rsidRDefault="006F73EC" w:rsidP="006F73EC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Динамика изменения контингента НДФЛ</w:t>
      </w:r>
    </w:p>
    <w:p w:rsidR="006F73EC" w:rsidRPr="00C276D4" w:rsidRDefault="006F73EC" w:rsidP="006F73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116"/>
        <w:gridCol w:w="1116"/>
        <w:gridCol w:w="1903"/>
        <w:gridCol w:w="1649"/>
        <w:gridCol w:w="1823"/>
      </w:tblGrid>
      <w:tr w:rsidR="00C276D4" w:rsidRPr="00C276D4" w:rsidTr="00EB3037">
        <w:trPr>
          <w:trHeight w:val="510"/>
        </w:trPr>
        <w:tc>
          <w:tcPr>
            <w:tcW w:w="786" w:type="pct"/>
            <w:vMerge w:val="restart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36" w:type="pct"/>
            <w:vMerge w:val="restart"/>
          </w:tcPr>
          <w:p w:rsidR="006F73EC" w:rsidRPr="00C276D4" w:rsidRDefault="006D5E58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 2017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6F73EC" w:rsidRPr="00C276D4" w:rsidRDefault="006D5E58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 2018</w:t>
            </w:r>
          </w:p>
        </w:tc>
        <w:tc>
          <w:tcPr>
            <w:tcW w:w="1089" w:type="pct"/>
            <w:shd w:val="clear" w:color="auto" w:fill="auto"/>
          </w:tcPr>
          <w:p w:rsidR="006F73EC" w:rsidRPr="00C276D4" w:rsidRDefault="00D46E23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Оценка исполнения на 2019</w:t>
            </w:r>
            <w:r w:rsidR="006F73EC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053" w:type="pct"/>
            <w:gridSpan w:val="2"/>
            <w:shd w:val="clear" w:color="auto" w:fill="auto"/>
          </w:tcPr>
          <w:p w:rsidR="006F73EC" w:rsidRPr="00C276D4" w:rsidRDefault="006F73EC" w:rsidP="00D46E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Прогноз на 20</w:t>
            </w:r>
            <w:r w:rsidR="00D46E23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276D4" w:rsidRPr="00C276D4" w:rsidTr="00EB3037">
        <w:trPr>
          <w:trHeight w:val="180"/>
        </w:trPr>
        <w:tc>
          <w:tcPr>
            <w:tcW w:w="786" w:type="pct"/>
            <w:vMerge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9" w:type="pct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Комитет по финансам</w:t>
            </w:r>
            <w:r w:rsidR="007F0C3C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/МИ ФНС №6</w:t>
            </w:r>
          </w:p>
        </w:tc>
        <w:tc>
          <w:tcPr>
            <w:tcW w:w="989" w:type="pct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Комитет по финансам</w:t>
            </w:r>
          </w:p>
        </w:tc>
        <w:tc>
          <w:tcPr>
            <w:tcW w:w="1064" w:type="pct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 ФНС №6</w:t>
            </w:r>
          </w:p>
        </w:tc>
      </w:tr>
      <w:tr w:rsidR="00C276D4" w:rsidRPr="00C276D4" w:rsidTr="00EB3037">
        <w:tc>
          <w:tcPr>
            <w:tcW w:w="786" w:type="pct"/>
            <w:shd w:val="clear" w:color="auto" w:fill="auto"/>
          </w:tcPr>
          <w:p w:rsidR="006D5E58" w:rsidRPr="00C276D4" w:rsidRDefault="006D5E58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Контингент НДФЛ</w:t>
            </w:r>
          </w:p>
        </w:tc>
        <w:tc>
          <w:tcPr>
            <w:tcW w:w="536" w:type="pct"/>
          </w:tcPr>
          <w:p w:rsidR="006D5E58" w:rsidRPr="00C276D4" w:rsidRDefault="006D5E58" w:rsidP="00421C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821878,3</w:t>
            </w:r>
          </w:p>
        </w:tc>
        <w:tc>
          <w:tcPr>
            <w:tcW w:w="536" w:type="pct"/>
            <w:shd w:val="clear" w:color="auto" w:fill="auto"/>
          </w:tcPr>
          <w:p w:rsidR="006D5E58" w:rsidRPr="00C276D4" w:rsidRDefault="00D46E23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853297,0</w:t>
            </w:r>
          </w:p>
        </w:tc>
        <w:tc>
          <w:tcPr>
            <w:tcW w:w="1089" w:type="pct"/>
            <w:shd w:val="clear" w:color="auto" w:fill="auto"/>
          </w:tcPr>
          <w:p w:rsidR="006D5E58" w:rsidRPr="00C276D4" w:rsidRDefault="00D46E23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966391,1</w:t>
            </w:r>
            <w:r w:rsidR="007F0C3C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/812161</w:t>
            </w:r>
          </w:p>
        </w:tc>
        <w:tc>
          <w:tcPr>
            <w:tcW w:w="989" w:type="pct"/>
            <w:shd w:val="clear" w:color="auto" w:fill="auto"/>
          </w:tcPr>
          <w:p w:rsidR="006D5E58" w:rsidRPr="00C276D4" w:rsidRDefault="00E11A3A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802520,0</w:t>
            </w:r>
          </w:p>
        </w:tc>
        <w:tc>
          <w:tcPr>
            <w:tcW w:w="1064" w:type="pct"/>
            <w:shd w:val="clear" w:color="auto" w:fill="auto"/>
          </w:tcPr>
          <w:p w:rsidR="006D5E58" w:rsidRPr="00C276D4" w:rsidRDefault="00E11A3A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828404</w:t>
            </w:r>
            <w:r w:rsidR="006D5E58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276D4" w:rsidRPr="00C276D4" w:rsidTr="00EB3037">
        <w:tc>
          <w:tcPr>
            <w:tcW w:w="786" w:type="pct"/>
            <w:shd w:val="clear" w:color="auto" w:fill="auto"/>
          </w:tcPr>
          <w:p w:rsidR="006D5E58" w:rsidRPr="00C276D4" w:rsidRDefault="006D5E58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% </w:t>
            </w:r>
            <w:proofErr w:type="gramStart"/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предыдущему году</w:t>
            </w:r>
          </w:p>
        </w:tc>
        <w:tc>
          <w:tcPr>
            <w:tcW w:w="536" w:type="pct"/>
          </w:tcPr>
          <w:p w:rsidR="006D5E58" w:rsidRPr="00C276D4" w:rsidRDefault="006D5E58" w:rsidP="00421C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+102,7</w:t>
            </w:r>
          </w:p>
        </w:tc>
        <w:tc>
          <w:tcPr>
            <w:tcW w:w="536" w:type="pct"/>
            <w:shd w:val="clear" w:color="auto" w:fill="auto"/>
          </w:tcPr>
          <w:p w:rsidR="006D5E58" w:rsidRPr="00C276D4" w:rsidRDefault="00D46E23" w:rsidP="00D46E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+103</w:t>
            </w:r>
            <w:r w:rsidR="006D5E58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9" w:type="pct"/>
            <w:shd w:val="clear" w:color="auto" w:fill="auto"/>
          </w:tcPr>
          <w:p w:rsidR="006D5E58" w:rsidRPr="00C276D4" w:rsidRDefault="00D46E23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113,3</w:t>
            </w:r>
          </w:p>
        </w:tc>
        <w:tc>
          <w:tcPr>
            <w:tcW w:w="989" w:type="pct"/>
            <w:shd w:val="clear" w:color="auto" w:fill="auto"/>
          </w:tcPr>
          <w:p w:rsidR="006D5E58" w:rsidRPr="00C276D4" w:rsidRDefault="00E11A3A" w:rsidP="00E11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  <w:r w:rsidR="006D5E58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64" w:type="pct"/>
            <w:shd w:val="clear" w:color="auto" w:fill="auto"/>
          </w:tcPr>
          <w:p w:rsidR="006D5E58" w:rsidRPr="00C276D4" w:rsidRDefault="006D5E58" w:rsidP="007F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7F0C3C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276D4" w:rsidRPr="00C276D4" w:rsidTr="00EB3037">
        <w:tc>
          <w:tcPr>
            <w:tcW w:w="786" w:type="pct"/>
            <w:shd w:val="clear" w:color="auto" w:fill="auto"/>
          </w:tcPr>
          <w:p w:rsidR="006D5E58" w:rsidRPr="00C276D4" w:rsidRDefault="006D5E58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НДФЛ</w:t>
            </w:r>
          </w:p>
        </w:tc>
        <w:tc>
          <w:tcPr>
            <w:tcW w:w="536" w:type="pct"/>
          </w:tcPr>
          <w:p w:rsidR="006D5E58" w:rsidRPr="00C276D4" w:rsidRDefault="006D5E58" w:rsidP="00421C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461320,3</w:t>
            </w:r>
          </w:p>
        </w:tc>
        <w:tc>
          <w:tcPr>
            <w:tcW w:w="536" w:type="pct"/>
            <w:shd w:val="clear" w:color="auto" w:fill="auto"/>
          </w:tcPr>
          <w:p w:rsidR="006D5E58" w:rsidRPr="00C276D4" w:rsidRDefault="006D5E58" w:rsidP="00D46E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D46E23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53954,0</w:t>
            </w:r>
          </w:p>
        </w:tc>
        <w:tc>
          <w:tcPr>
            <w:tcW w:w="1089" w:type="pct"/>
            <w:shd w:val="clear" w:color="auto" w:fill="auto"/>
          </w:tcPr>
          <w:p w:rsidR="006D5E58" w:rsidRPr="00C276D4" w:rsidRDefault="00D46E23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457103</w:t>
            </w:r>
            <w:r w:rsidR="006D5E58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9" w:type="pct"/>
            <w:shd w:val="clear" w:color="auto" w:fill="auto"/>
          </w:tcPr>
          <w:p w:rsidR="006D5E58" w:rsidRPr="00C276D4" w:rsidRDefault="006D5E58" w:rsidP="00E11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E11A3A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11291,5</w:t>
            </w:r>
          </w:p>
        </w:tc>
        <w:tc>
          <w:tcPr>
            <w:tcW w:w="1064" w:type="pct"/>
            <w:shd w:val="clear" w:color="auto" w:fill="auto"/>
          </w:tcPr>
          <w:p w:rsidR="006D5E58" w:rsidRPr="00C276D4" w:rsidRDefault="006D5E58" w:rsidP="007F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7F0C3C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24557</w:t>
            </w: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C276D4" w:rsidRPr="00C276D4" w:rsidTr="00EB3037">
        <w:tc>
          <w:tcPr>
            <w:tcW w:w="786" w:type="pct"/>
            <w:shd w:val="clear" w:color="auto" w:fill="auto"/>
          </w:tcPr>
          <w:p w:rsidR="006D5E58" w:rsidRPr="00C276D4" w:rsidRDefault="006D5E58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нормативы</w:t>
            </w:r>
          </w:p>
        </w:tc>
        <w:tc>
          <w:tcPr>
            <w:tcW w:w="536" w:type="pct"/>
          </w:tcPr>
          <w:p w:rsidR="006D5E58" w:rsidRPr="00C276D4" w:rsidRDefault="006D5E58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55,25</w:t>
            </w:r>
          </w:p>
        </w:tc>
        <w:tc>
          <w:tcPr>
            <w:tcW w:w="536" w:type="pct"/>
            <w:shd w:val="clear" w:color="auto" w:fill="auto"/>
          </w:tcPr>
          <w:p w:rsidR="006D5E58" w:rsidRPr="00C276D4" w:rsidRDefault="00D46E23" w:rsidP="00D46E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  <w:r w:rsidR="006D5E58"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9" w:type="pct"/>
            <w:shd w:val="clear" w:color="auto" w:fill="auto"/>
          </w:tcPr>
          <w:p w:rsidR="006D5E58" w:rsidRPr="00C276D4" w:rsidRDefault="00D46E23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47,3</w:t>
            </w:r>
          </w:p>
        </w:tc>
        <w:tc>
          <w:tcPr>
            <w:tcW w:w="989" w:type="pct"/>
            <w:shd w:val="clear" w:color="auto" w:fill="auto"/>
          </w:tcPr>
          <w:p w:rsidR="006D5E58" w:rsidRPr="00C276D4" w:rsidRDefault="00E11A3A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51,25</w:t>
            </w:r>
          </w:p>
        </w:tc>
        <w:tc>
          <w:tcPr>
            <w:tcW w:w="1064" w:type="pct"/>
            <w:shd w:val="clear" w:color="auto" w:fill="auto"/>
          </w:tcPr>
          <w:p w:rsidR="006D5E58" w:rsidRPr="00C276D4" w:rsidRDefault="007F0C3C" w:rsidP="007F0C3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51,25</w:t>
            </w:r>
          </w:p>
        </w:tc>
      </w:tr>
    </w:tbl>
    <w:p w:rsidR="00261DC2" w:rsidRPr="00C276D4" w:rsidRDefault="006F73EC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Комитетом по финансам городского округа город Михайловка </w:t>
      </w:r>
      <w:r w:rsidR="00621E4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ожидаемые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НДФЛ в консолидированный бюджет на 201</w:t>
      </w:r>
      <w:r w:rsidR="007F0C3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621E4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предусмотрены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ростом 13,</w:t>
      </w:r>
      <w:r w:rsidR="007F0C3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к уровню 2018 года в объеме 966391,1 тыс. руб.</w:t>
      </w:r>
      <w:r w:rsidR="00621E4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2020 год </w:t>
      </w:r>
      <w:r w:rsidR="003C574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ожидается снижение контингента на 17,0 %</w:t>
      </w:r>
      <w:r w:rsidR="00261DC2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F73EC" w:rsidRPr="00C276D4" w:rsidRDefault="006F73EC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1DC2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20F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Показатель </w:t>
      </w:r>
      <w:proofErr w:type="gramStart"/>
      <w:r w:rsidR="007820F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темпа роста фонда оплаты труда</w:t>
      </w:r>
      <w:proofErr w:type="gramEnd"/>
      <w:r w:rsidR="007820F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2020 года  относительно 2019 года, который принят в расчет администрации городского округа город Михайловка,  в материалах к проекту Решения не представлен.</w:t>
      </w:r>
    </w:p>
    <w:p w:rsidR="006F73EC" w:rsidRPr="00C276D4" w:rsidRDefault="006F73EC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Статья 160.1 БК РФ определяет: бюджетными полномочиями по утверждению методики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Федерации, обладает главный администратор доходов – то есть Управление Налоговой службы РФ по Волгоградской области. </w:t>
      </w:r>
    </w:p>
    <w:p w:rsidR="00736BCD" w:rsidRPr="00C276D4" w:rsidRDefault="006F73EC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Постановлением Правительства РФ от 23.06.2016 № 574 «Об общих требованиях к методике прогнозирования поступлений доходов в бюджеты бюджетной системы Российской Федерации» установлено, что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 Главным администратором налоговых доходов является Управление Федеральной налоговой службы по Волгоградской области (далее – УФНС).  Обоснования и расчеты в соответствии с Методикой и Методика, утвержденная УФНС, в материалах к проекту Решения не представлены. </w:t>
      </w:r>
    </w:p>
    <w:p w:rsidR="00736BCD" w:rsidRPr="00C276D4" w:rsidRDefault="006F73EC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представленной информации Межрайонной ИФНС № 6 по Волгоградской области, поступления по НДФЛ в</w:t>
      </w:r>
      <w:r w:rsidR="00EB303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консолидированный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  </w:t>
      </w:r>
      <w:r w:rsidR="00327DC3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ожидаются</w:t>
      </w:r>
      <w:r w:rsidR="00736BC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36BCD" w:rsidRPr="00C276D4" w:rsidRDefault="00736BCD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27DC3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2019 году,  в сумме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169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812161,0 тыс. руб., что на 154230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,1 тыс. руб. меньше </w:t>
      </w:r>
      <w:r w:rsidR="000A169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чем </w:t>
      </w:r>
      <w:r w:rsidR="00327DC3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планируется </w:t>
      </w:r>
      <w:r w:rsidR="000A169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комитетом по финансам</w:t>
      </w:r>
      <w:r w:rsidR="007820F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округа;</w:t>
      </w:r>
      <w:r w:rsidR="000A169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F73EC" w:rsidRPr="00C276D4" w:rsidRDefault="00736BCD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0A169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</w:t>
      </w:r>
      <w:r w:rsidR="00327DC3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327DC3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828404 </w:t>
      </w:r>
      <w:r w:rsidR="000A169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на 25884,0 тыс. руб. </w:t>
      </w:r>
      <w:r w:rsidR="00273282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выше 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бюджетных проектировок </w:t>
      </w:r>
      <w:r w:rsidR="00327DC3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комитета по финансам 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327DC3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802520,0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  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Динамика поступлений НДФЛ предыдущих лет показывает, что ежегодно в </w:t>
      </w:r>
      <w:r w:rsidRPr="00C276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 НДФЛ поступает порядка 30,0% (в 2015 году- 31,0%, в 2016 году 30,0%, в 2017 году-33,4%</w:t>
      </w:r>
      <w:r w:rsidR="00736BC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2018 году 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C77F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33,9%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) от общего объема поступлений вышеуказанного налога за год.  В соответствии с представленной оценкой исполнения бюджета городского округа за 201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 поступления по НДФЛ в </w:t>
      </w:r>
      <w:r w:rsidRPr="00C276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квартале, должны составить 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и в целом за год составить 45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7103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Контрольно-счетная комиссия считает 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ожидаемые поступления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2019 год, по указанному налогу, весьма оптимистичными. П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рогнозируемые поступления</w:t>
      </w:r>
      <w:r w:rsidR="00BD404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41C4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 год, напротив 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обоснованы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828F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0828FC" w:rsidRPr="00C276D4" w:rsidRDefault="000828F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Резервом увеличения поступлений по НДФЛ являются: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продолжение администрацией городского округа город Михайловка работы по легализации «теневой» заработной платы; </w:t>
      </w:r>
    </w:p>
    <w:p w:rsidR="006F73EC" w:rsidRPr="00C276D4" w:rsidRDefault="009409C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эффективности работы межведомственных комиссий по сокращению задолженности; </w:t>
      </w:r>
    </w:p>
    <w:p w:rsidR="006F73EC" w:rsidRPr="00C276D4" w:rsidRDefault="009409C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заработной платы в городском округе, и бюджетной сфере, в частности. </w:t>
      </w:r>
    </w:p>
    <w:p w:rsidR="006F73EC" w:rsidRPr="00C276D4" w:rsidRDefault="006F73EC" w:rsidP="007051FF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EC" w:rsidRPr="00C276D4" w:rsidRDefault="006F73EC" w:rsidP="002E5FBE">
      <w:pPr>
        <w:suppressAutoHyphens/>
        <w:spacing w:after="0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Акцизы на автомобильный и прямогонный бензин, дизельное топливо, моторные масла для дизельных и карбюра</w:t>
      </w:r>
      <w:r w:rsidR="00D118A8"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торных (</w:t>
      </w:r>
      <w:proofErr w:type="spellStart"/>
      <w:r w:rsidR="00D118A8"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инжекторных</w:t>
      </w:r>
      <w:proofErr w:type="spellEnd"/>
      <w:r w:rsidR="00D118A8"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двигателей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« Об областном бюджете на 20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(далее закон) предусматриваются плановые назначения по доходам от акцизов на дизельное топливо, моторные масла, автомобильный и прямогонный бензин, подлежащие распределению между бюджетами субъектов РФ и местными бюджетами </w:t>
      </w:r>
      <w:r w:rsidR="00EB303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B303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</w:t>
      </w:r>
      <w:r w:rsidR="00ED2D4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размере </w:t>
      </w:r>
      <w:r w:rsidR="009317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6717785</w:t>
      </w:r>
      <w:r w:rsidR="00EB303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руб.,  на 2021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ED2D4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17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7205177</w:t>
      </w:r>
      <w:r w:rsidR="00C47D9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 и 2022</w:t>
      </w:r>
      <w:r w:rsidR="00C47D9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</w:t>
      </w:r>
      <w:proofErr w:type="gramEnd"/>
      <w:r w:rsidR="00C47D9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сумме </w:t>
      </w:r>
      <w:r w:rsidR="009317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8308067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Нормативы отчислений по акцизам городскому округу город Михайловка снижены с 0,6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366 в 2019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до 0,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5738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 202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годах. 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нормативам отчислений по доходам от акцизов и прогнозу поступлений по доходам от акцизов на дизельное топливо, моторные масла и на автомобильный и прямогонный бензин из других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бюджетов бюджетной системы РФ в областной бюджет в 20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предусмотренным в Законе Волгоградской области «Об областном бюджете на 20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поступления должны составить </w:t>
      </w:r>
      <w:r w:rsidR="009317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42829,6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</w:t>
      </w:r>
      <w:r w:rsidR="009317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45937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руб., </w:t>
      </w:r>
      <w:r w:rsidR="009317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52968,9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в 20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 202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9409C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соответственно. 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прогнозу налоговых и неналоговых доходов бюджета городского округа город Михайловка, поступления по акцизам ожидаются, в 201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в сумме 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42000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руб., в 20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- 4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2829,6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202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 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45937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руб., в 202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 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50044,9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Ожидаемые поступления на 20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202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г.г</w:t>
      </w:r>
      <w:proofErr w:type="spell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выше оценки поступлений 201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на 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829,6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 руб., или на 2,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 на 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3937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руб., или на 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9,4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%, на 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8044,9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или на 1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9,2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в 20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 202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1946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 соответственно. Контрольно-счетная комиссия городского округа город Михайловка считает, что планируемые поступления по акцизам на очередной финансовый год обоснованы. </w:t>
      </w:r>
    </w:p>
    <w:p w:rsidR="006F73EC" w:rsidRPr="00C276D4" w:rsidRDefault="00D118A8" w:rsidP="002E5FBE">
      <w:pPr>
        <w:suppressAutoHyphens/>
        <w:spacing w:after="0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Земельный налог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Объем поступлений по земельному налогу в 20</w:t>
      </w:r>
      <w:r w:rsidR="00040F2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планируется администрацией городского округа город Михайловка в сумме </w:t>
      </w:r>
      <w:r w:rsidR="00040F2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73487,3 тыс. руб., что составляет 99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0F2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плановых назначений 201</w:t>
      </w:r>
      <w:r w:rsidR="00040F2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017875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Администратор доходов планирует указанные поступления в размере 7</w:t>
      </w:r>
      <w:r w:rsidR="00040F2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4650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 или на 1</w:t>
      </w:r>
      <w:r w:rsidR="00040F2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162,7 тыс. руб. (1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40F2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</w:t>
      </w:r>
      <w:r w:rsidR="00040F2F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ьше, чем бюджетные проектировки. </w:t>
      </w:r>
      <w:r w:rsidR="00421C38" w:rsidRPr="00C276D4">
        <w:rPr>
          <w:rFonts w:ascii="Times New Roman" w:hAnsi="Times New Roman" w:cs="Times New Roman"/>
          <w:sz w:val="24"/>
          <w:szCs w:val="24"/>
        </w:rPr>
        <w:t>Ожидаемые поступления 2019 года оцениваются МИ ФНС № 6 в размере 74030,0 тыс. руб., что на 6265,0 тыс. руб. (-7,8%) меньше запланированных показателей 2019 года (80295,0 тыс. рублей).</w:t>
      </w:r>
      <w:r w:rsidR="00421C38" w:rsidRPr="00C276D4">
        <w:t xml:space="preserve">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107676" w:rsidRPr="00C276D4" w:rsidRDefault="00017875" w:rsidP="00C276D4">
      <w:pPr>
        <w:suppressAutoHyphens/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76D4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Решения, а также других документах и материалах, предоставляемых одновременно с проектом Решения, отсутствуют какие-либо пояснения администрации, по поводу расхождений по ожидаемым поступлениям 2019 года с данными администратора налогов. </w:t>
      </w:r>
    </w:p>
    <w:p w:rsidR="006F73EC" w:rsidRPr="00C276D4" w:rsidRDefault="008B77AB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t xml:space="preserve">            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комиссией городского округа город Михайловка Волгоградской области проведен анализ поступлений вышеуказанного налога в 2017 </w:t>
      </w:r>
      <w:r w:rsidR="0010767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и 2018 году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 показал, что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01.10.2017 года,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поступления по земельному налогу составляли 39519,0 тыс. руб. или 48,3 % от общей суммы земельного налога поступившего в 2017 году (81744,9 тыс. руб.)</w:t>
      </w:r>
      <w:r w:rsidR="0010767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состоянию на 1.10.2018 года в сумме 40260,4 тыс. руб. или 53,5 % от общей суммы земельного налога поступившего в 2018 году (75298,7 тыс. руб.)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9 месяцев 201</w:t>
      </w:r>
      <w:r w:rsidR="0010767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бюджет городского округа поступило земельного налога  в сумме </w:t>
      </w:r>
      <w:r w:rsidR="0010767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38942,2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10767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48,5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оценки исполнения бюджета за 201</w:t>
      </w:r>
      <w:r w:rsidR="0010767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73E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произведенного анализа КСК считает ожидаемые поступления 2019 года, показатели прогноза поступлений по земельному налогу обоснованными.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63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  <w:t xml:space="preserve">  </w:t>
      </w:r>
      <w:r w:rsidRPr="00F13635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         </w:t>
      </w:r>
    </w:p>
    <w:p w:rsidR="006F73EC" w:rsidRPr="00C276D4" w:rsidRDefault="006F73EC" w:rsidP="002E5F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</w:t>
      </w:r>
      <w:r w:rsidR="00D118A8"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лог на имущество физических лиц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поступлений по налогу на имущество физических лиц в 201</w:t>
      </w:r>
      <w:r w:rsidR="008B77A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планируется администрацией городского округа город Михайловка в сумме 1</w:t>
      </w:r>
      <w:r w:rsidR="008B77A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9067,4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20</w:t>
      </w:r>
      <w:r w:rsidR="008B77A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19</w:t>
      </w:r>
      <w:r w:rsidR="008B77A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00,0 тыс. руб. (</w:t>
      </w:r>
      <w:r w:rsidR="008E361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-0,3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по отношению к ожидаемому поступлению предыдущего 201</w:t>
      </w:r>
      <w:r w:rsidR="008E361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в 202</w:t>
      </w:r>
      <w:r w:rsidR="008B77A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- 19</w:t>
      </w:r>
      <w:r w:rsidR="008B77A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 (+</w:t>
      </w:r>
      <w:r w:rsidR="008E361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0,5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прогнозу 20</w:t>
      </w:r>
      <w:r w:rsidR="008E361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202</w:t>
      </w:r>
      <w:r w:rsidR="007D28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– </w:t>
      </w:r>
      <w:r w:rsidR="007D28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19200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</w:t>
      </w:r>
      <w:r w:rsidR="008E361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(+0,5 % к прогнозу 2021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Обоснования и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расчеты в соответствии с Методикой, утвержденной УФНС по данному виду доходов, в материалах к проекту Решения не представлены.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Администратор доходов планирует указанные поступления, в 20</w:t>
      </w:r>
      <w:r w:rsidR="007D28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сумме 1</w:t>
      </w:r>
      <w:r w:rsidR="007D28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9998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</w:t>
      </w:r>
      <w:proofErr w:type="spell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.,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что выше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бюджетных проектировок на </w:t>
      </w:r>
      <w:r w:rsidR="007D28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998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Контрольно-счетной комиссией городского округа город Михайловка Волгоградской области проведен анализ динамики поступлений налога на имущество физических лиц в 201</w:t>
      </w:r>
      <w:r w:rsidR="007D28E9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году. Установлено, что в </w:t>
      </w:r>
      <w:r w:rsidRPr="00C276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 201</w:t>
      </w:r>
      <w:r w:rsidR="008E361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поступило 60,</w:t>
      </w:r>
      <w:r w:rsidR="008C11A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общей суммы налога, поступившей в целом за  год. В соответствии с представленной оценкой исполнения бюджета городского округа за 201</w:t>
      </w:r>
      <w:r w:rsidR="008C11A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поступления по налогу на имущество физ. лиц в </w:t>
      </w:r>
      <w:r w:rsidRPr="00C276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 201</w:t>
      </w:r>
      <w:r w:rsidR="008C11A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должны составить 6</w:t>
      </w:r>
      <w:r w:rsidR="008C11A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,0% и составить 1</w:t>
      </w:r>
      <w:r w:rsidR="008C11A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1436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КСК считает, что показатели прогноза поступлений по  налогу на имущество физ. лиц в бюджет городского округа за 20</w:t>
      </w:r>
      <w:r w:rsidR="00D118A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D118A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обоснованы</w:t>
      </w:r>
      <w:r w:rsidR="009E1BB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1BB1" w:rsidRDefault="009E1BB1" w:rsidP="007051FF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</w:pPr>
    </w:p>
    <w:p w:rsidR="009E1BB1" w:rsidRPr="00C276D4" w:rsidRDefault="009E1BB1" w:rsidP="002E5FBE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Налоги на совокупный доход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Поступление налогов на совокупный доход на 2020 год предусмотрено в сумме 74200,0 тыс. руб., в том числе ЕНВД –43700,0 тыс. руб., Единый сельскохозяйственный налог – 24500,0 тыс. руб., налог, взимаемый в связи с патентной системой налогообложения -2000,0 тыс. руб., налог взимаемый в связи с применением упрощенной системы налогообложения (УСН) – 4000,0 </w:t>
      </w:r>
      <w:proofErr w:type="spell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Основная доля прогнозируемых поступлений приходится на ЕНВД. Согласно пояснительной записке к проекту решения Михайловской городской Думы, расчет по налогам произведен на основании данных о поступивших суммах налогов за 2018 год: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2017 году (ЕНВД - исполнение составило-46410,6 тыс. руб.),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2018 году (ЕНВД - исполнение составило-43795,5 тыс. руб.),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исполнения в 2019 году (ЕНВД -44600,0 тыс. руб.) 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Проектом Решения предусматриваются плановые назначения по ЕНВД на 2020 год в размере 43700,0 тыс. руб. (-2,0 % по отношению к оценке исполнения в 2019 году), в 2021 году – 0,0 тыс.  руб., в 2022 году – 0,0 тыс. руб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proofErr w:type="gramEnd"/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Контрольно-счетная комиссия отмечает, что администратор доходов планирует поступления по ЕНВД: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2020 году в сумме 45910,0 тыс. руб., т.е. выше  оценки исполнения  2019 года  на 1310,0 тыс. руб., или на 2,9 %; 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-в 2021 году  в сумме 46010,0 тыс. руб.;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-в 2022 году в сумме 46010,0 тыс. руб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proofErr w:type="gramEnd"/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Таким образом, 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прогнозный показатель по ЕНВД определен без учета оценки поступлений  администратора доходов.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Контрольно-счетной комиссией городского округа город Михайловка проведен анализ показателей прогноза социально-экономического развития городского округа, изменение законодательства и предлагаемых коэффициентов-дефляторов. Установлено, что на основании индекса потребительских цен ежегодно устанавливается коэффициент-дефлятор К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его увеличение влечет за собой увеличение поступлений по налогу на вмененный доход. Согласно Приказу Минэкономразвития России от </w:t>
      </w:r>
      <w:r w:rsidRPr="00C276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21.10.2018 </w:t>
      </w:r>
      <w:r w:rsidRPr="00C276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№ 684</w:t>
      </w:r>
      <w:r w:rsidRPr="00C276D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DFDEF"/>
          <w:lang w:eastAsia="ar-SA"/>
        </w:rPr>
        <w:t>,</w:t>
      </w:r>
      <w:r w:rsidRPr="00C276D4">
        <w:rPr>
          <w:rFonts w:ascii="Arial" w:eastAsia="Times New Roman" w:hAnsi="Arial" w:cs="Arial"/>
          <w:b/>
          <w:bCs/>
          <w:sz w:val="23"/>
          <w:szCs w:val="23"/>
          <w:shd w:val="clear" w:color="auto" w:fill="FDFDEF"/>
          <w:lang w:eastAsia="ar-SA"/>
        </w:rPr>
        <w:t> 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этот коэффициент увеличен в 2020 году с 1,915 до 2,009. Таким образом, налоговая нагрузка на плательщиков ЕНВД в 2020 году  увеличится на 4,9 %.   </w:t>
      </w:r>
    </w:p>
    <w:p w:rsidR="009E1BB1" w:rsidRPr="00C276D4" w:rsidRDefault="009E1BB1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Однако согласно Прогнозу социально-экономического развития городского округа город Михайловка на 2020-2022 годы, по состоянию на 01.07.2019 г., на территории городского округа город Михайловка Волгоградской области, осуществляли деятельность 2461 субъект предпринимательства (2725 - по состоянию на 01.01.2018 г.), т.е. за год произошло сокращение количества субъектов предпринимательства на 264 единицы (-10,0%). Далее прогнозируется, что с 2020 по 2022г.г. ежегодно будет наблюдаться прирост количества субъектов предпринимательства на 1%. , (примерно на 25 единиц в год), и этот 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мнению КСК,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сможет значительно увеличить сумму  поступлений в бюджет относительно ожидаемой оценки исполнения бюджета по указанному налогу.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Проектом Решения предусматриваются плановые назначения по налогу, взимаемому в связи с применением упрощенной системы налогообложения в сумме 4000,0 </w:t>
      </w:r>
      <w:proofErr w:type="spell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Доходы предусмотрены в соответствии с изменениями в законе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29.10.2011 г. № 2258-ОД «Об установлении единых нормативов отчислений в местные бюджеты от налогов, подлежащих зачислению в областной бюджет». При планировании применялись данные отчета 5-УСН (Отчет о налоговой базе и структуре начислений по налогу, уплачиваемому в связи с применением упрощенной системы налогообложения) за 2019 год.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Прогнозный показатель по единому сельскохозяйственному налогу определен на основании оценки администратора доходов на 2020 год 24000,0 тыс. руб.(-1,3 % по отношению к ожидаемой оценке исполнения бюджета. </w:t>
      </w:r>
      <w:proofErr w:type="gramEnd"/>
    </w:p>
    <w:p w:rsidR="009E1BB1" w:rsidRPr="00C276D4" w:rsidRDefault="009E1BB1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Прогнозный показатель по налогу, взимаемому в связи с применением патентной системы налогообложения, определен на основании оценки администратора доходов на 2020 год 2000,0 тыс. руб.(+93,5 % по отношению к ожидаемой оценке исполнения бюджета), на 2021 год 2100 (+5,0 % по отношению к 2020 году), на 2022 год 2200 (+4,7 % по отношению к 2021 году).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приказу Минэкономразвития России от 21.10.2019 года № 684 коэффициент–дефлятор по патентной системе  изменился с 1,518 в 2019 году до 1,592 в 2020 году., т.е. налоговая нагрузка по данному налогу увеличится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4,9 %. </w:t>
      </w:r>
    </w:p>
    <w:p w:rsidR="009E1BB1" w:rsidRPr="00C276D4" w:rsidRDefault="009E1BB1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Показатели прогноза поступлений по ЕНВД, по единому сельскохозяйственному налогу, по налогу, взимаемому в связи с применением патентной системы налогообложения и  налогу, взимаемому в вязи с применением упрощенной системы налогообложения в бюджет городского округа, КСК считает обоснованными.</w:t>
      </w:r>
    </w:p>
    <w:p w:rsidR="009E1BB1" w:rsidRPr="00C276D4" w:rsidRDefault="009E1BB1" w:rsidP="00C276D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3EC" w:rsidRPr="00C276D4" w:rsidRDefault="006F73EC" w:rsidP="002E5F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Государственная пошлина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Плановые назначения по государственной пошлине на 20</w:t>
      </w:r>
      <w:r w:rsidR="00B349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предусматриваются в размере </w:t>
      </w:r>
      <w:r w:rsidR="00B349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7100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 (+</w:t>
      </w:r>
      <w:r w:rsidR="00B349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34,8 % к прогнозным назначениям 2019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года), на 202</w:t>
      </w:r>
      <w:r w:rsidR="00B349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- </w:t>
      </w:r>
      <w:r w:rsidR="00B349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7100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</w:t>
      </w:r>
      <w:r w:rsidR="0043781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(+0,0</w:t>
      </w:r>
      <w:r w:rsidR="00B349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к 2020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году), на 202</w:t>
      </w:r>
      <w:r w:rsidR="00B349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- </w:t>
      </w:r>
      <w:r w:rsidR="00B349A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7165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 (+0,</w:t>
      </w:r>
      <w:r w:rsidR="0043781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%)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2021 году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Администратор доходов планирует поступления по госпошлине в сумме </w:t>
      </w:r>
      <w:r w:rsidR="0043781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9390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руб., </w:t>
      </w:r>
      <w:r w:rsidR="0043781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9400,0 тыс. руб., 9450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 в 20</w:t>
      </w:r>
      <w:r w:rsidR="0043781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,202</w:t>
      </w:r>
      <w:r w:rsidR="0043781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43781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соответственно.</w:t>
      </w:r>
    </w:p>
    <w:p w:rsidR="006C2E20" w:rsidRDefault="006C2E20" w:rsidP="006C2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6C2E20" w:rsidRPr="00C276D4" w:rsidRDefault="006C2E20" w:rsidP="002E5F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Неналоговые поступления</w:t>
      </w:r>
    </w:p>
    <w:p w:rsidR="006C2E20" w:rsidRPr="00C276D4" w:rsidRDefault="006C2E20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неналоговым платежам проектом бюджета предусмотрено снижение поступлений по отношению к ожидаемому исполнению 2019 года на 6426,6 тыс. руб.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Вышеуказанные платежи должны составить 118800,0 тыс. руб. Снижение объема неналоговых доходов ожидается:</w:t>
      </w:r>
    </w:p>
    <w:p w:rsidR="006C2E20" w:rsidRPr="00C276D4" w:rsidRDefault="006C2E20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результате снижения доходов от продажи материальных и нематериальных активов (-3600,0 тыс. руб., или 59,6 %);</w:t>
      </w:r>
    </w:p>
    <w:p w:rsidR="006C2E20" w:rsidRPr="00C276D4" w:rsidRDefault="006C2E20" w:rsidP="00C276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  уменьшение поступлений по штрафам, санкциям на 4200,0 тыс. руб., или 54,3 %</w:t>
      </w:r>
      <w:r w:rsidRPr="00C276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276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Доля неналоговых доходов в общей сумме поступлений доходов в бюджет городского округа в 2020 году составит 7,5% (-0,7%). Таким образом, уменьшится не только абсолютная величина вышеуказанных налогов, но и доля их в общей сумме поступлений.</w:t>
      </w:r>
    </w:p>
    <w:p w:rsidR="00214A11" w:rsidRPr="00C276D4" w:rsidRDefault="006C2E20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структуре неналоговых доходов наибольшую долю составляют арендная плата за землю - 81,7 %, доходы от продажи материальных и нематериальных активов – 4,5 %, доходы от сдачи в аренду имущества - 8,5 %, доходы от оказания платных услуг и компенсации затрат государства - 8,5 %.</w:t>
      </w:r>
    </w:p>
    <w:p w:rsidR="006C2E20" w:rsidRPr="00C276D4" w:rsidRDefault="006C2E20" w:rsidP="00C276D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3EC" w:rsidRPr="00C276D4" w:rsidRDefault="006F73EC" w:rsidP="002E5F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Арендная плата за землю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проекте бюджета городского округа город Михайловка на 20</w:t>
      </w:r>
      <w:r w:rsidR="009000A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основная доля в неналоговых доходах, а именно - </w:t>
      </w:r>
      <w:r w:rsidR="009000A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000A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%, приходится на доходы, получаемые в виде арендной платы за земельные участки.</w:t>
      </w: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Поступление арендной платы за землю, на 20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год, предусмотрено в сумме 8</w:t>
      </w:r>
      <w:r w:rsidR="004362F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 (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103,8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по отношению к  оценке исполнения 201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года) на 202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 – 8</w:t>
      </w:r>
      <w:r w:rsidR="004362F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860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,0(+1,0%) и 202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</w:t>
      </w:r>
      <w:r w:rsidR="004362F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87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730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тыс. руб. 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(+2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,0%), т.е. ожидается увеличение поступлений по отношению к оценке исполнения 201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Фактически в бюджет городского округа город Михайловка в виде арендной платы за з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емлю, по состоянию на 01.10.2019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поступило 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59250,5 тыс. руб. или 7</w:t>
      </w:r>
      <w:r w:rsidR="00A95B9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95B9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ценки исполнения доходов на 2019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 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пояснительной записке администрац</w:t>
      </w:r>
      <w:r w:rsidR="004362F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объем поступлений от доходов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получаемых в виде арендной платы за земельные участки, на 20</w:t>
      </w:r>
      <w:r w:rsidR="007D2D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запланирован методом прямого расчета сумм начислений по действующим договорам аренды земельных участков, на основании кадастровой стоимости земельных участков. 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Задолженность, по состоянию на 01.11.2018 года, по указанному налогу, сложилась в сумме 7</w:t>
      </w:r>
      <w:r w:rsidR="000274FE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2092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274FE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т. ч.:</w:t>
      </w:r>
    </w:p>
    <w:p w:rsidR="006F73EC" w:rsidRPr="00C276D4" w:rsidRDefault="006F73EC" w:rsidP="00C276D4">
      <w:pPr>
        <w:suppressAutoHyphens/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-задолженность текущего года 2</w:t>
      </w:r>
      <w:r w:rsidR="00B22F9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7479,9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-задолженность прошлых лет </w:t>
      </w:r>
      <w:r w:rsidR="00B22F9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44612,9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из нее невозможная к взысканию в сумме </w:t>
      </w:r>
      <w:r w:rsidR="00B22F9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35908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2F9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</w:t>
      </w:r>
      <w:r w:rsidR="00F271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задолженность юридических лиц, находящихся в стадии б</w:t>
      </w:r>
      <w:r w:rsidR="0062652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анкротства 1</w:t>
      </w:r>
      <w:r w:rsidR="003C3FE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24D5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800</w:t>
      </w:r>
      <w:r w:rsidR="0062652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24D51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задолженность, по которой есть решение суда о ее взыскании в бюджет городского округа и находящейся на взыскании в ССП </w:t>
      </w:r>
      <w:r w:rsidR="00F271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22108,5</w:t>
      </w:r>
      <w:r w:rsidRPr="00C276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  <w:r w:rsidR="00F271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предполагаемая к взысканию задолженность </w:t>
      </w:r>
      <w:r w:rsidR="00F271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8705,4</w:t>
      </w:r>
      <w:r w:rsidRPr="00C276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 </w:t>
      </w:r>
      <w:proofErr w:type="gramEnd"/>
    </w:p>
    <w:p w:rsidR="007051FF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6F73EC" w:rsidRPr="00C276D4" w:rsidRDefault="006F73EC" w:rsidP="00C27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общая сумма задолженности, реальной к взысканию, по состоянию на 01.11.2018 года, составляет </w:t>
      </w:r>
      <w:r w:rsidR="00F271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36185,4</w:t>
      </w:r>
      <w:r w:rsidRPr="00C276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Наиболее крупные суммы задолженности имеют следующие плательщики:</w:t>
      </w:r>
    </w:p>
    <w:p w:rsidR="006F73EC" w:rsidRPr="00C276D4" w:rsidRDefault="006F73EC" w:rsidP="00C276D4">
      <w:pPr>
        <w:suppressAutoHyphens/>
        <w:spacing w:after="0"/>
        <w:ind w:firstLine="10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должника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Задолженность всего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</w:t>
            </w: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Универсалводстрой</w:t>
            </w:r>
            <w:proofErr w:type="spell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C25A8" w:rsidP="006C25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1026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2E60B4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«Фавн»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C25A8" w:rsidP="006C25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740,6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405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,0 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2E60B4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ООО «Вико» 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F73EC" w:rsidP="00830F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="00830F6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342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,3(5</w:t>
            </w:r>
            <w:r w:rsidR="00830F6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154,6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774BB4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Рябов В.И.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774BB4" w:rsidP="00774B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2408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,4 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банкрот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Мих</w:t>
            </w:r>
            <w:proofErr w:type="gram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.А</w:t>
            </w:r>
            <w:proofErr w:type="gram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втошкола</w:t>
            </w:r>
            <w:proofErr w:type="spell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РО ДОСААФ Р НОУДП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F73EC" w:rsidP="00024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  <w:r w:rsidR="00024F36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918,0 (Решение суда о рассрочке 1384,0)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</w:t>
            </w: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Экострой</w:t>
            </w:r>
            <w:proofErr w:type="spell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2D1484" w:rsidP="002D14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9413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(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Наурбиев</w:t>
            </w:r>
            <w:proofErr w:type="spell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А.Х.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774BB4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991,3(93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1,3 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 Агрокомбинат Михайловский»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F27107" w:rsidP="00F271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2646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 банкротство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Козин Р.Ю. 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F73EC" w:rsidP="00024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  <w:r w:rsidR="00024F36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06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,3(</w:t>
            </w:r>
            <w:r w:rsidR="00024F36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1306,3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2E60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МУП «Михайловское водопроводно-канализационное хоз-во</w:t>
            </w:r>
            <w:r w:rsidRPr="00C276D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F73EC" w:rsidP="00024F3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  <w:r w:rsidR="00024F36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165,5</w:t>
            </w:r>
            <w:r w:rsidR="00774BB4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требование</w:t>
            </w:r>
          </w:p>
        </w:tc>
      </w:tr>
      <w:tr w:rsidR="00774BB4" w:rsidRPr="00C276D4" w:rsidTr="00EB3037">
        <w:tc>
          <w:tcPr>
            <w:tcW w:w="4820" w:type="dxa"/>
            <w:shd w:val="clear" w:color="auto" w:fill="auto"/>
          </w:tcPr>
          <w:p w:rsidR="00774BB4" w:rsidRPr="00C276D4" w:rsidRDefault="00774BB4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ООО </w:t>
            </w: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Резалт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74BB4" w:rsidRPr="00C276D4" w:rsidRDefault="00774BB4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1516,1банкротство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2D1484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Тащилина</w:t>
            </w:r>
            <w:proofErr w:type="spell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Светлана Александровна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2D1484" w:rsidP="002D14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387,0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6C25A8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претензия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Джавахишвили </w:t>
            </w: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Мераб</w:t>
            </w:r>
            <w:proofErr w:type="spell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Вахтангович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F73EC" w:rsidRPr="00C276D4" w:rsidRDefault="006F73EC" w:rsidP="001F5C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  <w:r w:rsidR="001F5C93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54,9 (3154,9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«Торг»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2D1484" w:rsidP="002D148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398,4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340,0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Крылов ИВ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F73EC" w:rsidP="006C25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  <w:r w:rsidR="006C25A8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02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,1(647,1 Решение суда)</w:t>
            </w:r>
          </w:p>
        </w:tc>
      </w:tr>
      <w:tr w:rsidR="00FB4325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«Мир»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024F36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9747,8 </w:t>
            </w:r>
            <w:proofErr w:type="gram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</w:t>
            </w:r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End"/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передано в </w:t>
            </w:r>
            <w:proofErr w:type="spellStart"/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юротдел</w:t>
            </w:r>
            <w:proofErr w:type="spellEnd"/>
            <w:r w:rsidR="006F73EC"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банкротство</w:t>
            </w:r>
          </w:p>
        </w:tc>
      </w:tr>
      <w:tr w:rsidR="001F5C93" w:rsidRPr="00C276D4" w:rsidTr="00EB3037">
        <w:tc>
          <w:tcPr>
            <w:tcW w:w="4820" w:type="dxa"/>
            <w:shd w:val="clear" w:color="auto" w:fill="auto"/>
          </w:tcPr>
          <w:p w:rsidR="001F5C93" w:rsidRPr="00C276D4" w:rsidRDefault="001F5C93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ГУП </w:t>
            </w:r>
            <w:proofErr w:type="spell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</w:t>
            </w:r>
            <w:proofErr w:type="gramStart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П»</w:t>
            </w:r>
            <w:proofErr w:type="gram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Волгоградоблстройинвест</w:t>
            </w:r>
            <w:proofErr w:type="spellEnd"/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1F5C93" w:rsidRPr="00C276D4" w:rsidRDefault="001F5C93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1992,1 (Решение суда)</w:t>
            </w:r>
          </w:p>
        </w:tc>
      </w:tr>
      <w:tr w:rsidR="007A2CF0" w:rsidRPr="00C276D4" w:rsidTr="00EB3037">
        <w:tc>
          <w:tcPr>
            <w:tcW w:w="4820" w:type="dxa"/>
            <w:shd w:val="clear" w:color="auto" w:fill="auto"/>
          </w:tcPr>
          <w:p w:rsidR="006F73EC" w:rsidRPr="00C276D4" w:rsidRDefault="006F73EC" w:rsidP="006F73E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394" w:type="dxa"/>
            <w:shd w:val="clear" w:color="auto" w:fill="auto"/>
          </w:tcPr>
          <w:p w:rsidR="006F73EC" w:rsidRPr="00C276D4" w:rsidRDefault="006C25A8" w:rsidP="006F73E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76D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48757,0</w:t>
            </w:r>
          </w:p>
        </w:tc>
      </w:tr>
    </w:tbl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Как видно из таблицы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адолженность в сумме </w:t>
      </w:r>
      <w:r w:rsidR="004B25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6668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B25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521E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отработана частично, т.е. меры принудительного взыскания применены не в полном объеме.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оценке поступлений</w:t>
      </w:r>
      <w:r w:rsidR="004B25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 в 2019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в бюджет до конца года должно поступить порядка 2</w:t>
      </w:r>
      <w:r w:rsidR="004B25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1853,8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Планируемые назначения по арендной плате за земельные участки на 201</w:t>
      </w:r>
      <w:r w:rsidR="004B25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составляют 8</w:t>
      </w:r>
      <w:r w:rsidR="004B25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3808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Pr="00C276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т.е. до конца </w:t>
      </w:r>
      <w:r w:rsidR="004B25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должно поступить порядка 26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,0 % платежей. В </w:t>
      </w:r>
      <w:r w:rsidRPr="00C276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квартале 201</w:t>
      </w:r>
      <w:r w:rsidR="00B03D2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года в бюджет поступило </w:t>
      </w:r>
      <w:r w:rsidR="00B67FEE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33,6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плановых назначений.</w:t>
      </w:r>
      <w:r w:rsidR="00B03D28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7FEE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Прогнозные показатели поступлений по арендной плате за землю КСК считает обоснованными.  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EC" w:rsidRPr="00C276D4" w:rsidRDefault="006F73EC" w:rsidP="002E5FB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продажи материальных и нематериальных активов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Поступление доходов от продажи материальных и нематериальных активов на 2019 год планируется в сумме </w:t>
      </w:r>
      <w:r w:rsidR="001F7F53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530</w:t>
      </w:r>
      <w:r w:rsidR="00540FD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руб., в том числе: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доходы в сумме </w:t>
      </w:r>
      <w:r w:rsidR="00540FD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00,0 тыс. руб. от продажи имущества в порядке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продажи муниципального имущества по прогнозному плану приватизации по результатам торгов 1000 тыс. руб.;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доходы в сумме </w:t>
      </w:r>
      <w:r w:rsidR="00540FD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0,0 тыс. руб. от продажи земельных участков, государственная собственность на которые не разграничена, и которые расположены в границах городского округа, а также находящихся в муниципальной собственности. Данные поступления планируются исходя из оценки поступлений за 201</w:t>
      </w:r>
      <w:r w:rsidR="00540FDD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BA6C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утверждении прогнозного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 w:rsidR="00BA6C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приватизации на 20</w:t>
      </w:r>
      <w:r w:rsidR="00BA6C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BA6C0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оценки приватизируемых объектов нет.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Оценить обоснованность прогнозных показателей поступлений в бюджет городского округа по результатам торгов невозможно.</w:t>
      </w:r>
    </w:p>
    <w:p w:rsidR="00C276D4" w:rsidRDefault="00C276D4" w:rsidP="002E5FBE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3EC" w:rsidRPr="00C276D4" w:rsidRDefault="006F73EC" w:rsidP="002E5FBE">
      <w:pPr>
        <w:suppressAutoHyphens/>
        <w:spacing w:after="0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перечисления части прибыли муниципальных унитарных предприятий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Доходы от перечисления части прибыли МУП </w:t>
      </w:r>
      <w:r w:rsidR="0008644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планируются в сумме 1000,0 тыс. руб.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2018 года (-</w:t>
      </w:r>
      <w:r w:rsidR="0008644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8644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08644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666E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лановая сумма дохода рассчитана</w:t>
      </w:r>
      <w:r w:rsidR="005666E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исходя из прогнозируемой чистой прибыли МУП</w:t>
      </w:r>
      <w:r w:rsidR="005666E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итогам финансово-хозяйственной деятельности за 201</w:t>
      </w:r>
      <w:r w:rsidR="005666E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</w:t>
      </w:r>
      <w:r w:rsidR="00086446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Прогнозные показатели поступлений в 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 городского округа на 2020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 КСК считает обоснованными.</w:t>
      </w:r>
    </w:p>
    <w:p w:rsidR="00214A11" w:rsidRPr="00FB4325" w:rsidRDefault="00214A11" w:rsidP="00214A11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6F73EC" w:rsidRPr="00C276D4" w:rsidRDefault="006F73EC" w:rsidP="00C276D4">
      <w:pPr>
        <w:suppressAutoHyphens/>
        <w:spacing w:after="0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сдачи в аренду имущества (прочие поступления от использования имущества)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Поступление доходов от сдачи в аренду муниципального имущества на 20</w:t>
      </w:r>
      <w:r w:rsidR="005666E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планируется в сумме </w:t>
      </w:r>
      <w:r w:rsidR="005666E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10100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руб., в том числе: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3</w:t>
      </w:r>
      <w:r w:rsidR="005666E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договорам аренды, которые продолжат действовать в 20</w:t>
      </w:r>
      <w:r w:rsidR="005666E4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6000,0 тыс. руб.;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ожидаемые плановые назначения по поступлениям оплаты по договорам социального найма объектов муниципального жилого фонда 300,0 тыс. руб.;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 сдачи в аренду муниципального имущества, закрепленного на праве оперативного управления за муниципальными казенными учреждениями в сумме  </w:t>
      </w:r>
      <w:r w:rsidR="0094289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руб.;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плата за право на размещение нестационарного торгового объекта </w:t>
      </w:r>
      <w:r w:rsidR="0094289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1200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руб.;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установки и эксплуатации рекламных конструкций 1700,0 тыс. руб. по 29 действующим договорам.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Прогнозные показатели поступлений по доходам от сдачи в аренду имущества  в бюджет городского округа на 20</w:t>
      </w:r>
      <w:r w:rsidR="0094289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 КСК считает обоснованными.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от оказания платных услуг и компенсации затрат государства</w:t>
      </w:r>
      <w:r w:rsidR="002E5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Оценка исполнения дохода от оказания платных услуг и компенсации затрат государства на 201</w:t>
      </w:r>
      <w:r w:rsidR="004B203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составляет 10</w:t>
      </w:r>
      <w:r w:rsidR="004B203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996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руб.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Плановые назначения по вышеуказанным доходам на 20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предусматриваются в размере 1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0100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,0 тыс. руб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 (-8,1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 к о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ценке исполнения за 2019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год), на 202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202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годы- 1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0228,4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б. (+1,3 % к 2020 году)  и 10370,8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562B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(+1,4 % к 2021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году) соответственно.</w:t>
      </w:r>
    </w:p>
    <w:p w:rsidR="006F73EC" w:rsidRPr="00C276D4" w:rsidRDefault="006F73EC" w:rsidP="00C276D4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Доходы от оказания платных услуг  и компенсации затрат государства состоят из родительской платы за присмотр и уход за ребенком в группах дошкольного образования при общеобразовательных учреждениях </w:t>
      </w:r>
      <w:r w:rsidR="001704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год-7367,0 </w:t>
      </w:r>
      <w:proofErr w:type="spellStart"/>
      <w:r w:rsidR="001704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="001704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1704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="00F17CB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(размер родительской платы утвержден постановлением администрации от 1</w:t>
      </w:r>
      <w:r w:rsidR="001704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5.01.2019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1704FA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суммы доходов от оказания платных услуг школами, спортивными школами, Михайловским центром культуры, социально-досуговым центром </w:t>
      </w:r>
      <w:r w:rsidR="00F17CB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2020 год-1946,5 тыс. </w:t>
      </w:r>
      <w:proofErr w:type="spellStart"/>
      <w:r w:rsidR="00F17CB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proofErr w:type="spellEnd"/>
      <w:r w:rsidR="00F17CB7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прочих доходов от компенсации расходов бюджета по заключенным договорам возмещения затрат на коммунальные услуги арендаторами помещений с учетом индекса цен на коммунальные услуги</w:t>
      </w:r>
      <w:r w:rsidR="008049A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 год-786,5 тыс. руб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Данные поступления в 20</w:t>
      </w:r>
      <w:r w:rsidR="008049A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 году планирую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</w:t>
      </w:r>
      <w:r w:rsidR="008049A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отчетных данных об исполнении бюджета на 01.10.2019 года.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Контрольно-счетная комиссия городского округа город Михайловка считает прогноз на 20</w:t>
      </w:r>
      <w:r w:rsidR="008049A5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обоснованным.</w:t>
      </w:r>
    </w:p>
    <w:p w:rsidR="00C276D4" w:rsidRPr="002E5FBE" w:rsidRDefault="006F73EC" w:rsidP="002E5FBE">
      <w:pPr>
        <w:suppressAutoHyphens/>
        <w:spacing w:after="0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6F73EC" w:rsidRPr="00C276D4" w:rsidRDefault="006F73EC" w:rsidP="002E5FBE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Безвозмездные поступления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Проектом решения о бюджете общий объем безвозмездных поступлений планируется в сумме 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830827,5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руб., что составляет 9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5,3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оценк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е безвозмездных поступлений 2019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Безвозмездные поступления включают в себя:</w:t>
      </w:r>
    </w:p>
    <w:p w:rsidR="006F73EC" w:rsidRPr="00C276D4" w:rsidRDefault="006F73EC" w:rsidP="00C276D4">
      <w:pPr>
        <w:numPr>
          <w:ilvl w:val="0"/>
          <w:numId w:val="6"/>
        </w:numPr>
        <w:tabs>
          <w:tab w:val="left" w:pos="1320"/>
        </w:tabs>
        <w:suppressAutoHyphens/>
        <w:spacing w:after="0"/>
        <w:ind w:left="11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субвенции  7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29503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</w:p>
    <w:p w:rsidR="006F73EC" w:rsidRPr="00C276D4" w:rsidRDefault="006F73EC" w:rsidP="00C276D4">
      <w:pPr>
        <w:numPr>
          <w:ilvl w:val="0"/>
          <w:numId w:val="6"/>
        </w:numPr>
        <w:tabs>
          <w:tab w:val="left" w:pos="1320"/>
        </w:tabs>
        <w:suppressAutoHyphens/>
        <w:spacing w:after="0"/>
        <w:ind w:left="11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субсидии   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101323,6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руб.</w:t>
      </w:r>
    </w:p>
    <w:p w:rsidR="006F73EC" w:rsidRPr="00C276D4" w:rsidRDefault="006F73EC" w:rsidP="00C276D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Следует отметить, что расходы на выполнение передаваемых полномочий Волгоградской области и на </w:t>
      </w:r>
      <w:proofErr w:type="spell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социальных расходов запланированы в соответствии с предусмотренными проектом Закона Волгоградской области об областном бюджете на 20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объемами и направлениями межбюджетных трансфертов.</w:t>
      </w:r>
      <w:proofErr w:type="gramEnd"/>
    </w:p>
    <w:p w:rsidR="006F73EC" w:rsidRPr="00C276D4" w:rsidRDefault="006F73EC" w:rsidP="00C276D4">
      <w:pPr>
        <w:suppressAutoHyphens/>
        <w:spacing w:after="0"/>
        <w:ind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 рассмотрении проекта бюджета на очередной финансовый год, видно, что объем безвозмездных поступлений выше, чем объем поступлений, который прогнозировался изначально в предыдущем году. Из предусмотренных в 20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средств: - субсидии – 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101323,6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2018 году при внесении проекта бюджета - 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30275,5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- субвенции – 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729503,9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(в 201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при внесении проекта бюджета - 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700032,3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рублей). Потенциально безвозмездные доходы бюджета городского округа, в 20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как и в предыдущие годы, могут быть увеличены, что приведет к соответствующим </w:t>
      </w:r>
      <w:proofErr w:type="gramStart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поправкам</w:t>
      </w:r>
      <w:proofErr w:type="gramEnd"/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доходной части бюджета городского округа, так и расходной. В 20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оценка безвозмездных поступлений составляет 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872250,8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т.е. увеличение поступлений относительно первоначального прогноза в течение года ожидается на сумму </w:t>
      </w:r>
      <w:r w:rsidR="001244D0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141943,0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или </w:t>
      </w:r>
      <w:r w:rsidR="0022678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19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2678C"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276D4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:rsidR="006F73EC" w:rsidRPr="006F73EC" w:rsidRDefault="006F73EC" w:rsidP="006F73EC">
      <w:pPr>
        <w:suppressAutoHyphens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2A6E" w:rsidRPr="002E5FBE" w:rsidRDefault="002E5FBE" w:rsidP="002E5FB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525661" w:rsidRPr="002E5F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Общий объем расходов бюджета городского округа в очередном финансовом году и плановом периоде.</w:t>
      </w:r>
    </w:p>
    <w:p w:rsidR="00BE2A6E" w:rsidRPr="00E23A1B" w:rsidRDefault="00BE2A6E" w:rsidP="00BE2A6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>Общая сумма расходов в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предусмотрена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1577535,9 </w:t>
      </w:r>
      <w:r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 в том числе расходы на выполнение государственных полномочий и </w:t>
      </w:r>
      <w:proofErr w:type="spellStart"/>
      <w:r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830827,5 </w:t>
      </w:r>
      <w:r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рублей.</w:t>
      </w:r>
    </w:p>
    <w:p w:rsidR="00BE2A6E" w:rsidRPr="00CB0BC1" w:rsidRDefault="00BE2A6E" w:rsidP="00BE2A6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0BC1">
        <w:rPr>
          <w:rFonts w:ascii="Times New Roman" w:eastAsia="Calibri" w:hAnsi="Times New Roman" w:cs="Times New Roman"/>
          <w:sz w:val="24"/>
          <w:szCs w:val="24"/>
        </w:rPr>
        <w:t>Расходы бюджета городского</w:t>
      </w:r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предусмотрены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1776369,5 </w:t>
      </w:r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в том числе расходы на выполнение государственных полномочий и </w:t>
      </w:r>
      <w:proofErr w:type="spellStart"/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1073168,4</w:t>
      </w:r>
      <w:r w:rsidRPr="00082DC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общая сумма расходов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1596597,5 </w:t>
      </w:r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в том числе расходы на выполнение государственных полномочий и </w:t>
      </w:r>
      <w:proofErr w:type="spellStart"/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885324,2 </w:t>
      </w:r>
      <w:r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рублей.</w:t>
      </w:r>
      <w:proofErr w:type="gramEnd"/>
    </w:p>
    <w:p w:rsidR="00BE2A6E" w:rsidRPr="00B55DC7" w:rsidRDefault="00BE2A6E" w:rsidP="00BE2A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3 статьи 184.1 Бюджетного кодекса РФ определено, что </w:t>
      </w:r>
      <w:r w:rsidRPr="00B55DC7">
        <w:rPr>
          <w:rFonts w:ascii="Times New Roman" w:eastAsia="Calibri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proofErr w:type="gramEnd"/>
      <w:r w:rsidRPr="00B55DC7">
        <w:rPr>
          <w:rFonts w:ascii="Times New Roman" w:eastAsia="Calibri" w:hAnsi="Times New Roman" w:cs="Times New Roman"/>
          <w:sz w:val="24"/>
          <w:szCs w:val="24"/>
        </w:rPr>
        <w:t>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BE2A6E" w:rsidRPr="003C399D" w:rsidRDefault="00BE2A6E" w:rsidP="00BE2A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утвержденные расходы  бюджета в проекте бюджета предусматриваются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7580,0</w:t>
      </w: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имеющих целевое назначение,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35563,7</w:t>
      </w:r>
      <w:r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5,0 %.   </w:t>
      </w:r>
    </w:p>
    <w:p w:rsidR="00BE2A6E" w:rsidRPr="001455FA" w:rsidRDefault="00BE2A6E" w:rsidP="00BE2A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Изменение объемов ассигнований расходов по проекту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 2022</w:t>
      </w: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характеризуется следующими данными:</w:t>
      </w:r>
    </w:p>
    <w:p w:rsidR="00BC20EC" w:rsidRDefault="00BC20EC" w:rsidP="00BC2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EC" w:rsidRDefault="00BC20EC" w:rsidP="00BC2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EC" w:rsidRDefault="00BC20EC" w:rsidP="00BC2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6E" w:rsidRPr="001455FA" w:rsidRDefault="00BE2A6E" w:rsidP="00BC2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3"/>
        <w:gridCol w:w="1008"/>
        <w:gridCol w:w="800"/>
        <w:gridCol w:w="909"/>
        <w:gridCol w:w="650"/>
        <w:gridCol w:w="909"/>
        <w:gridCol w:w="650"/>
        <w:gridCol w:w="909"/>
        <w:gridCol w:w="657"/>
      </w:tblGrid>
      <w:tr w:rsidR="00BE2A6E" w:rsidRPr="001455FA" w:rsidTr="00DD72EC">
        <w:trPr>
          <w:trHeight w:val="271"/>
          <w:tblHeader/>
        </w:trPr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Наименование расходов                </w:t>
            </w:r>
          </w:p>
        </w:tc>
        <w:tc>
          <w:tcPr>
            <w:tcW w:w="34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Проект  бюджета </w:t>
            </w:r>
          </w:p>
        </w:tc>
      </w:tr>
      <w:tr w:rsidR="00BE2A6E" w:rsidRPr="001109A1" w:rsidTr="00DD72EC">
        <w:trPr>
          <w:trHeight w:val="33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Удель-ный</w:t>
            </w:r>
            <w:proofErr w:type="spellEnd"/>
            <w:proofErr w:type="gramEnd"/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Удель-ный</w:t>
            </w:r>
            <w:proofErr w:type="spellEnd"/>
            <w:proofErr w:type="gramEnd"/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Удель-ный</w:t>
            </w:r>
            <w:proofErr w:type="spellEnd"/>
            <w:proofErr w:type="gramEnd"/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Удель-ный</w:t>
            </w:r>
            <w:proofErr w:type="spellEnd"/>
            <w:proofErr w:type="gramEnd"/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вес, %</w:t>
            </w:r>
          </w:p>
        </w:tc>
      </w:tr>
      <w:tr w:rsidR="00BE2A6E" w:rsidRPr="001109A1" w:rsidTr="00DD72EC">
        <w:trPr>
          <w:trHeight w:val="461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ОБЩЕГОСУДАРСТВЕННЫЕ ВОПРОСЫ               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192882,5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200936,5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12,74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186353,4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10,49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188587,9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11,81</w:t>
            </w:r>
          </w:p>
        </w:tc>
      </w:tr>
      <w:tr w:rsidR="00BE2A6E" w:rsidRPr="001109A1" w:rsidTr="00DD72EC">
        <w:trPr>
          <w:trHeight w:val="797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12502,8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9109,0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0,58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8578,2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0,48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8676,8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0,54</w:t>
            </w:r>
          </w:p>
        </w:tc>
      </w:tr>
      <w:tr w:rsidR="00BE2A6E" w:rsidRPr="001109A1" w:rsidTr="00DD72EC">
        <w:trPr>
          <w:trHeight w:val="204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НАЦИОНАЛЬНАЯ ЭКОНОМИКА                             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78616,0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76367,9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74321,0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4,18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77765,9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4,87</w:t>
            </w:r>
          </w:p>
        </w:tc>
      </w:tr>
      <w:tr w:rsidR="00BE2A6E" w:rsidRPr="001109A1" w:rsidTr="00DD72EC">
        <w:trPr>
          <w:trHeight w:val="418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ЖИЛИЩНО-КОММУНАЛЬНОЕ ХОЗЯЙСТВО                     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103748,5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6,78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83143,5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5,27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80710,8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4,54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78822,4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4,94</w:t>
            </w:r>
          </w:p>
        </w:tc>
      </w:tr>
      <w:tr w:rsidR="00BE2A6E" w:rsidRPr="001109A1" w:rsidTr="00DD72EC">
        <w:trPr>
          <w:trHeight w:val="257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ОБРАЗОВАНИЕ                                          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896790,5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58,6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964571,1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61,14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1204770,2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1018952,4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63,82</w:t>
            </w:r>
          </w:p>
        </w:tc>
      </w:tr>
      <w:tr w:rsidR="00BE2A6E" w:rsidRPr="001109A1" w:rsidTr="00DD72EC">
        <w:trPr>
          <w:trHeight w:val="216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95265,0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6,23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79925,3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5,06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75268,1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4,24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76132,2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4,77</w:t>
            </w:r>
          </w:p>
        </w:tc>
      </w:tr>
      <w:tr w:rsidR="00BE2A6E" w:rsidRPr="001109A1" w:rsidTr="00DD72EC">
        <w:trPr>
          <w:trHeight w:val="242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СОЦИАЛЬНАЯ ПОЛИТИКА                       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99070,4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99976,2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105397,8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109568,5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6,86</w:t>
            </w:r>
          </w:p>
        </w:tc>
      </w:tr>
      <w:tr w:rsidR="00BE2A6E" w:rsidRPr="001109A1" w:rsidTr="00DD72EC">
        <w:trPr>
          <w:trHeight w:val="37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ФИЗИЧЕСКАЯ КУЛЬТУРА И СПОРТ              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42246,7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57863,8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35644,6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36043,7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2,26</w:t>
            </w:r>
          </w:p>
        </w:tc>
      </w:tr>
      <w:tr w:rsidR="00BE2A6E" w:rsidRPr="001109A1" w:rsidTr="00DD72EC">
        <w:trPr>
          <w:trHeight w:val="403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3363,9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2142,6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2026,1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2047,7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0,13</w:t>
            </w:r>
          </w:p>
        </w:tc>
      </w:tr>
      <w:tr w:rsidR="00BE2A6E" w:rsidRPr="001109A1" w:rsidTr="00DD72EC">
        <w:trPr>
          <w:trHeight w:val="403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5648,5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3,69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3299,3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BE2A6E" w:rsidRPr="001109A1" w:rsidTr="00DD72EC">
        <w:trPr>
          <w:trHeight w:val="257"/>
        </w:trPr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1530134,8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1577535,9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1776369,5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1596597,5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A6E" w:rsidRPr="002E5FBE" w:rsidRDefault="00BE2A6E" w:rsidP="00DD7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E5F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</w:tbl>
    <w:p w:rsidR="00BE2A6E" w:rsidRPr="008E4E6C" w:rsidRDefault="00BE2A6E" w:rsidP="00BE2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2A6E" w:rsidRPr="005F2CC8" w:rsidRDefault="00BE2A6E" w:rsidP="005F2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планируется на уровне 76,3</w:t>
      </w:r>
      <w:r w:rsidRPr="00E34B0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E2A6E" w:rsidRPr="007A4ABA" w:rsidRDefault="00BE2A6E" w:rsidP="002E5F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Pr="004B745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Михайловка Волгоградской области от 07 декабря 2015 г. N 3447 "Об утверждении Положения о ведомственных целевых программах городского округа город Михайловка", Постановлением от 29 декабря 2016 г. N 3419 «Об утверждении положения о муниципальных программах городского округа город Михайловка», </w:t>
      </w:r>
      <w:r w:rsidRPr="004B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бюджета городского округа город</w:t>
      </w:r>
      <w:proofErr w:type="gramEnd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 предусмотрено финансирование 36 программ, в том числе: 31 </w:t>
      </w:r>
      <w:proofErr w:type="gramStart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5 ведомственных программ.</w:t>
      </w:r>
    </w:p>
    <w:p w:rsidR="00BE2A6E" w:rsidRPr="001117E5" w:rsidRDefault="00BE2A6E" w:rsidP="002E5FB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Финансирование расходов 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определено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1229456,0 </w:t>
      </w:r>
      <w:r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(что больше 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40165,4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руб. чем в проекте бюджета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</w:t>
      </w:r>
      <w:r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245684,7 </w:t>
      </w:r>
      <w:r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руб., на ведомственные целевые программы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983771,3 </w:t>
      </w:r>
      <w:r w:rsidRPr="00111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11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2A6E" w:rsidRDefault="00BE2A6E" w:rsidP="002E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Объем ассигнований на муниципальные и ведомственные целевые программы предусмотрен в проекте решения в размере 77,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от общих расходов бюджета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в то время как удельный вес программных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проекте  бюджета на  2019</w:t>
      </w:r>
      <w:r w:rsidRPr="00BD7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составлял 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7,7%.</w:t>
      </w:r>
    </w:p>
    <w:p w:rsidR="005F2CC8" w:rsidRPr="00BC20EC" w:rsidRDefault="00BE2A6E" w:rsidP="00BC20E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4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99047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Проверкой установлено:  в результате технической ошибки, в Приложении № 6 проекта бюджета,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21, 2022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годов, предусмотрены  ассигнования по муниципальной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«Устойчивое развитие сельских территорий на 2014-2017 годы и на период до 2020 года», 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т.е. сроки реализации программы не соответствуют планов</w:t>
      </w:r>
      <w:r w:rsidR="002E5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ому утверждаемому периоду.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изложенного КСК предлагает учесть данное замечание при рассмотрении проекта решения.</w:t>
      </w:r>
      <w:r w:rsidR="00BC2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BE2A6E" w:rsidRPr="00B802A5" w:rsidRDefault="00BE2A6E" w:rsidP="002E5F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проекта бюджета на 2020</w:t>
      </w: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приведены в таблице:</w:t>
      </w:r>
    </w:p>
    <w:p w:rsidR="00BE2A6E" w:rsidRPr="00B802A5" w:rsidRDefault="00BE2A6E" w:rsidP="00BE2A6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802A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3870"/>
        <w:gridCol w:w="1455"/>
        <w:gridCol w:w="1455"/>
        <w:gridCol w:w="1338"/>
        <w:gridCol w:w="1453"/>
      </w:tblGrid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2019 года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2020</w:t>
            </w: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1530134,8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1577535,9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1776369,5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1596597,5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799827,0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746708,4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703201,1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711273,3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730307,8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830827,5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1073168,4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885324,2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1530134,8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1577535,9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1776369,5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1596597,5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 ч. условно-утверждаемые расходы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17580,0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35563,7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условно утверждаемых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резервного фонда в общей сумме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5648,5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3299,3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объем муниципального долга 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208572,7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245684,7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481782,2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279040,3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программ в общей сумме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Ведомственные программы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980717,9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983771,3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950341,7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E2A6E" w:rsidRPr="00B802A5" w:rsidTr="00DD72EC">
        <w:tc>
          <w:tcPr>
            <w:tcW w:w="2022" w:type="pct"/>
          </w:tcPr>
          <w:p w:rsidR="00BE2A6E" w:rsidRPr="00B802A5" w:rsidRDefault="00BE2A6E" w:rsidP="00DD72E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ведомственных программ в общей сумме расходов</w:t>
            </w:r>
            <w:proofErr w:type="gramStart"/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760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69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59" w:type="pct"/>
          </w:tcPr>
          <w:p w:rsidR="00BE2A6E" w:rsidRPr="00B802A5" w:rsidRDefault="00BE2A6E" w:rsidP="00DD72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E2A6E" w:rsidRPr="00B802A5" w:rsidRDefault="00BE2A6E" w:rsidP="00BE2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6E" w:rsidRPr="00BE2A6E" w:rsidRDefault="00BE2A6E" w:rsidP="002E5F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 </w:t>
      </w:r>
      <w:r w:rsidRPr="00BE2A6E">
        <w:rPr>
          <w:rFonts w:ascii="Times New Roman" w:eastAsia="Calibri" w:hAnsi="Times New Roman" w:cs="Times New Roman"/>
          <w:b/>
          <w:sz w:val="24"/>
          <w:szCs w:val="24"/>
        </w:rPr>
        <w:t>Верхний предел муниципального внутреннего долга городского округа.</w:t>
      </w:r>
    </w:p>
    <w:p w:rsidR="00BE2A6E" w:rsidRPr="00B802A5" w:rsidRDefault="00BE2A6E" w:rsidP="002E5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2A5">
        <w:rPr>
          <w:rFonts w:ascii="Times New Roman" w:eastAsia="Calibri" w:hAnsi="Times New Roman" w:cs="Times New Roman"/>
          <w:b/>
          <w:sz w:val="24"/>
          <w:szCs w:val="24"/>
        </w:rPr>
        <w:t>Верхний предел  долга по муниципальным гарантиям.</w:t>
      </w:r>
    </w:p>
    <w:p w:rsidR="00985671" w:rsidRDefault="00BE2A6E" w:rsidP="00985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2A5">
        <w:rPr>
          <w:rFonts w:ascii="Times New Roman" w:eastAsia="Calibri" w:hAnsi="Times New Roman" w:cs="Times New Roman"/>
          <w:b/>
          <w:sz w:val="24"/>
          <w:szCs w:val="24"/>
        </w:rPr>
        <w:t>Предельный объем муниципального долга.</w:t>
      </w:r>
    </w:p>
    <w:p w:rsidR="00985671" w:rsidRDefault="00BE2A6E" w:rsidP="009856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Согласно п.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ст. 107 </w:t>
      </w:r>
      <w:r>
        <w:rPr>
          <w:rFonts w:ascii="Times New Roman" w:eastAsia="Calibri" w:hAnsi="Times New Roman" w:cs="Times New Roman"/>
          <w:sz w:val="24"/>
          <w:szCs w:val="24"/>
        </w:rPr>
        <w:t>БК РФ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BE2A6E" w:rsidRPr="00985671" w:rsidRDefault="00BE2A6E" w:rsidP="009856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5B4">
        <w:rPr>
          <w:rFonts w:ascii="Times New Roman" w:eastAsia="Calibri" w:hAnsi="Times New Roman" w:cs="Times New Roman"/>
          <w:sz w:val="24"/>
          <w:szCs w:val="24"/>
        </w:rPr>
        <w:t>Предельный объем муниципального долга в проекте решения устанавливается в соответствии с  Бюджетным кодексом 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году  в сумме 100000,0 тыс. рублей, в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году в сумме 100000,0 тыс. рублей, в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году – 100000,0 тыс. рублей.</w:t>
      </w:r>
    </w:p>
    <w:p w:rsidR="00BE2A6E" w:rsidRPr="001415B4" w:rsidRDefault="00BE2A6E" w:rsidP="002E5F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1415B4">
        <w:rPr>
          <w:rFonts w:ascii="Times New Roman" w:eastAsia="Calibri" w:hAnsi="Times New Roman" w:cs="Times New Roman"/>
          <w:sz w:val="24"/>
          <w:szCs w:val="24"/>
        </w:rPr>
        <w:t>Верхний предел муниципального долга по состоянию на 1 января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  <w:r>
        <w:rPr>
          <w:rFonts w:ascii="Times New Roman" w:eastAsia="Calibri" w:hAnsi="Times New Roman" w:cs="Times New Roman"/>
          <w:sz w:val="24"/>
          <w:szCs w:val="24"/>
        </w:rPr>
        <w:t>18328,0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 верхний предел долга по муниципальным гарантиям 0,0 тыс. руб., на 1 января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>0,0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 верхний предел долга по муниципальным гарантиям 0,0 тыс. руб.,  на 1 января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года - 0 тыс. рублей, в том числе  верхний предел долга</w:t>
      </w:r>
      <w:proofErr w:type="gramEnd"/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по муниципальным гарантиям 0,0 тыс. руб.</w:t>
      </w:r>
    </w:p>
    <w:p w:rsidR="00BE2A6E" w:rsidRDefault="00BE2A6E" w:rsidP="002E5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 ст. 107 БК РФ определяет, что при составлении, утверждении и исполнении бюджетов, начиная с бюджетов на 2020 год, </w:t>
      </w:r>
      <w:r>
        <w:rPr>
          <w:rFonts w:ascii="Times New Roman" w:hAnsi="Times New Roman" w:cs="Times New Roman"/>
          <w:sz w:val="24"/>
          <w:szCs w:val="24"/>
        </w:rPr>
        <w:t>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следующего за очередным финансовым годом),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BE2A6E" w:rsidRDefault="00BE2A6E" w:rsidP="002E5FB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п. 4 текстовой части проекта решения указан «верхний предел муниципального долга» без конкретизации вида долга («внешний» или «внутренний»), а также «верхний предел долга по муниципальным гарантиям» без конкретизации вида долга («</w:t>
      </w:r>
      <w:r>
        <w:rPr>
          <w:rFonts w:ascii="Times New Roman" w:hAnsi="Times New Roman" w:cs="Times New Roman"/>
          <w:sz w:val="24"/>
          <w:szCs w:val="24"/>
        </w:rPr>
        <w:t>верхнего предела долга по муниципальным гарантиям в валюте Российской Федерации» или  «верхнего предела долга по муниципальным гарантиям в иностранной валюте»)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соответствует требованиям</w:t>
      </w:r>
      <w:r w:rsidR="00F3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107 БК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25661" w:rsidRPr="00354E61" w:rsidRDefault="00BE2A6E" w:rsidP="00354E6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КСК предлагает внести корректировки в текстовую часть проекта решения.</w:t>
      </w:r>
    </w:p>
    <w:p w:rsidR="00286616" w:rsidRPr="002E5FBE" w:rsidRDefault="00286616" w:rsidP="002E5F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D72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</w:p>
    <w:p w:rsidR="00E83AAE" w:rsidRPr="00535C96" w:rsidRDefault="00286616" w:rsidP="002E5F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По результатам экспертизы  проекта решения Михайловской городской Думы «О бюджете городского округа город Михайловка на</w:t>
      </w:r>
      <w:r w:rsidR="001D1FB7" w:rsidRPr="001D1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год и на плановый период 2021</w:t>
      </w:r>
      <w:r w:rsidRPr="001D1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1D1FB7" w:rsidRPr="001D1FB7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1D1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проведенной контрольно-счетной комиссией к 1 чтению, можно сделать следующие выводы:</w:t>
      </w:r>
    </w:p>
    <w:p w:rsidR="00214A11" w:rsidRPr="00535C96" w:rsidRDefault="007051FF" w:rsidP="00C9741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03A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="00286616"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формиро</w:t>
      </w:r>
      <w:r w:rsidR="00B30C54"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вании проекта бюджета городского округа город Михайловка Волгоградской области</w:t>
      </w:r>
      <w:r w:rsidR="00286616"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приняты меры, направленные на реализацию задач, поставленных в основных направлениях налоговой и </w:t>
      </w:r>
      <w:r w:rsidR="00D03AD3" w:rsidRPr="00D03AD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политики на 2020 год и плановый период 2021 и 2022</w:t>
      </w:r>
      <w:r w:rsidR="00286616" w:rsidRPr="00D0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</w:t>
      </w:r>
      <w:r w:rsidR="00286616"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обеспечению сбалансированности бюджета, возможной концентрации ресурсов на социальных отраслях экономики.</w:t>
      </w:r>
      <w:proofErr w:type="gramEnd"/>
    </w:p>
    <w:p w:rsidR="007C7D95" w:rsidRPr="00D03AD3" w:rsidRDefault="00286616" w:rsidP="00C9741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A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Михайловскую городскую Думу вместе с проектом бюджета поступил прогноз социально-экономического развития городског</w:t>
      </w:r>
      <w:r w:rsidR="00D03AD3"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округа город Михайловка на 2020</w:t>
      </w:r>
      <w:r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494316"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03AD3"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и паспорта муниципальных программ, чт</w:t>
      </w:r>
      <w:r w:rsidR="007C7D95" w:rsidRPr="00D03AD3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соответствует ст.184.2 БК РФ.</w:t>
      </w:r>
    </w:p>
    <w:p w:rsidR="003B3EC8" w:rsidRPr="00721941" w:rsidRDefault="007C7D95" w:rsidP="00C974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1F1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целом прогноз социально-экономического развития городского</w:t>
      </w:r>
      <w:r w:rsidR="00D03AD3" w:rsidRPr="009F7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округа город Михайловка на 2020-2022</w:t>
      </w:r>
      <w:r w:rsidRPr="009F7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соответствует </w:t>
      </w:r>
      <w:r w:rsidR="003B3EC8" w:rsidRPr="009F71F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развитию</w:t>
      </w:r>
      <w:r w:rsidRPr="009F7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экономики Российской Федерации, Волгоградской области и общероссийским тенденциям</w:t>
      </w:r>
      <w:r w:rsidR="009F71F1" w:rsidRPr="009F71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F71F1" w:rsidRPr="009F71F1">
        <w:rPr>
          <w:rFonts w:ascii="Times New Roman" w:eastAsia="Calibri" w:hAnsi="Times New Roman" w:cs="Times New Roman"/>
          <w:sz w:val="24"/>
          <w:szCs w:val="24"/>
        </w:rPr>
        <w:t>Согласно базовому варианту</w:t>
      </w:r>
      <w:r w:rsidRPr="009F7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32C" w:rsidRPr="009F71F1">
        <w:rPr>
          <w:rFonts w:ascii="Times New Roman" w:eastAsia="Calibri" w:hAnsi="Times New Roman" w:cs="Times New Roman"/>
          <w:sz w:val="24"/>
          <w:szCs w:val="24"/>
        </w:rPr>
        <w:t>прогноза</w:t>
      </w:r>
      <w:r w:rsidRPr="009F7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32C" w:rsidRPr="009F71F1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развития РФ </w:t>
      </w:r>
      <w:r w:rsidR="00DF132C" w:rsidRPr="009F71F1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9F71F1" w:rsidRPr="009F71F1">
        <w:rPr>
          <w:rFonts w:ascii="Times New Roman" w:hAnsi="Times New Roman" w:cs="Times New Roman"/>
          <w:sz w:val="24"/>
          <w:szCs w:val="24"/>
        </w:rPr>
        <w:t>замедление в среднесрочной перспективе темпов мирового экономического роста</w:t>
      </w:r>
      <w:r w:rsidR="009F71F1">
        <w:rPr>
          <w:rFonts w:ascii="Times New Roman" w:hAnsi="Times New Roman" w:cs="Times New Roman"/>
          <w:sz w:val="24"/>
          <w:szCs w:val="24"/>
        </w:rPr>
        <w:t xml:space="preserve"> до 2,7 % </w:t>
      </w:r>
      <w:r w:rsidR="009F71F1" w:rsidRPr="009F71F1">
        <w:rPr>
          <w:rFonts w:ascii="Times New Roman" w:hAnsi="Times New Roman" w:cs="Times New Roman"/>
          <w:sz w:val="24"/>
          <w:szCs w:val="24"/>
        </w:rPr>
        <w:t xml:space="preserve">в связи с усилением неопределенности относительно международных «правил игры», в частности с эскалацией торговых, а также с окончанием циклического восстановления в европейских странах. </w:t>
      </w:r>
    </w:p>
    <w:p w:rsidR="00CC3A73" w:rsidRPr="00535C96" w:rsidRDefault="00CC3A73" w:rsidP="00C97414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прогнозу</w:t>
      </w:r>
      <w:r w:rsidRPr="00943B3B">
        <w:rPr>
          <w:rFonts w:ascii="Times New Roman" w:hAnsi="Times New Roman" w:cs="Times New Roman"/>
          <w:sz w:val="24"/>
          <w:szCs w:val="24"/>
        </w:rPr>
        <w:t xml:space="preserve"> макроэкономические условия развития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 xml:space="preserve">до 2022 года </w:t>
      </w:r>
      <w:r w:rsidRPr="00943B3B">
        <w:rPr>
          <w:rFonts w:ascii="Times New Roman" w:hAnsi="Times New Roman" w:cs="Times New Roman"/>
          <w:sz w:val="24"/>
          <w:szCs w:val="24"/>
        </w:rPr>
        <w:t>характеризуются ростом макроэкономических пок</w:t>
      </w:r>
      <w:r>
        <w:rPr>
          <w:rFonts w:ascii="Times New Roman" w:hAnsi="Times New Roman" w:cs="Times New Roman"/>
          <w:sz w:val="24"/>
          <w:szCs w:val="24"/>
        </w:rPr>
        <w:t>азателей. Снижение темпа</w:t>
      </w:r>
      <w:r w:rsidRPr="00943B3B">
        <w:rPr>
          <w:rFonts w:ascii="Times New Roman" w:hAnsi="Times New Roman" w:cs="Times New Roman"/>
          <w:sz w:val="24"/>
          <w:szCs w:val="24"/>
        </w:rPr>
        <w:t xml:space="preserve"> роста наблюдается только в </w:t>
      </w:r>
      <w:r w:rsidRPr="0094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среднегодовой численности занятых в экономике на 20 человек. </w:t>
      </w:r>
    </w:p>
    <w:p w:rsidR="007051FF" w:rsidRPr="00535C96" w:rsidRDefault="00286616" w:rsidP="00C9741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C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35C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F35FF" w:rsidRPr="00535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35C96" w:rsidRPr="00535C9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бюджета городского округа город Михайловка на 2020 год  прогнозируются в сумме 1577535,9 тыс. руб., что ниже оценки 2019 года на 94541,9  тыс. руб., или на 3,2  %,  на 2021 год  выше прогноза на 2019 г  на 104291,7 тыс. руб. (на 6,2 % к 2019 году).</w:t>
      </w:r>
      <w:proofErr w:type="gramEnd"/>
      <w:r w:rsidR="00535C96" w:rsidRPr="00535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2022 году  планируется снова снижение доходов по отношению к 2019 году на 75480,3  тыс. руб. (-4,5 %). Проанализировав прогноз поступлений по налоговым и неналоговым доходам, КСК отмечает, что прогноз поступлений на 2020 год обоснован.         </w:t>
      </w:r>
    </w:p>
    <w:p w:rsidR="002978A0" w:rsidRPr="00CB0BC1" w:rsidRDefault="00286616" w:rsidP="00C974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3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90312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03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3127" w:rsidRPr="00903127">
        <w:rPr>
          <w:rFonts w:ascii="Times New Roman" w:eastAsia="Calibri" w:hAnsi="Times New Roman" w:cs="Times New Roman"/>
          <w:sz w:val="24"/>
          <w:szCs w:val="24"/>
          <w:lang w:eastAsia="ru-RU"/>
        </w:rPr>
        <w:t>Общая сумма</w:t>
      </w:r>
      <w:r w:rsidR="00903127"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 в 20</w:t>
      </w:r>
      <w:r w:rsidR="0090312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03127"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предусмотрена в сумме </w:t>
      </w:r>
      <w:r w:rsidR="00903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1577535,9 </w:t>
      </w:r>
      <w:r w:rsidR="00903127"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 в том числе расходы на выполнение государственных полномочий и </w:t>
      </w:r>
      <w:proofErr w:type="spellStart"/>
      <w:r w:rsidR="00903127"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903127"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</w:t>
      </w:r>
      <w:r w:rsidR="00903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830827,5 </w:t>
      </w:r>
      <w:r w:rsidR="00903127" w:rsidRPr="00E23A1B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рублей.</w:t>
      </w:r>
      <w:r w:rsidR="002978A0" w:rsidRPr="00297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978A0" w:rsidRPr="00CB0BC1">
        <w:rPr>
          <w:rFonts w:ascii="Times New Roman" w:eastAsia="Calibri" w:hAnsi="Times New Roman" w:cs="Times New Roman"/>
          <w:sz w:val="24"/>
          <w:szCs w:val="24"/>
        </w:rPr>
        <w:t>Расходы бюджета городского</w:t>
      </w:r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предусмотрены на 202</w:t>
      </w:r>
      <w:r w:rsidR="002978A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</w:t>
      </w:r>
      <w:r w:rsidR="00297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1776369,5 </w:t>
      </w:r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в том числе расходы на выполнение государственных полномочий и </w:t>
      </w:r>
      <w:proofErr w:type="spellStart"/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 </w:t>
      </w:r>
      <w:r w:rsidR="002978A0">
        <w:rPr>
          <w:rFonts w:ascii="Times New Roman" w:eastAsia="Calibri" w:hAnsi="Times New Roman" w:cs="Times New Roman"/>
          <w:sz w:val="24"/>
          <w:szCs w:val="24"/>
          <w:lang w:eastAsia="ru-RU"/>
        </w:rPr>
        <w:t>1073168,4</w:t>
      </w:r>
      <w:r w:rsidR="002978A0" w:rsidRPr="00082DC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тыс. рублей, на 202</w:t>
      </w:r>
      <w:r w:rsidR="002978A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общая сумма расходов составляет </w:t>
      </w:r>
      <w:r w:rsidR="00297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1596597,5 </w:t>
      </w:r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в том числе расходы на выполнение государственных полномочий и </w:t>
      </w:r>
      <w:proofErr w:type="spellStart"/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–</w:t>
      </w:r>
      <w:r w:rsidR="00297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885324,2 </w:t>
      </w:r>
      <w:r w:rsidR="002978A0" w:rsidRPr="00CB0BC1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рублей.</w:t>
      </w:r>
      <w:proofErr w:type="gramEnd"/>
    </w:p>
    <w:p w:rsidR="00015A57" w:rsidRDefault="00286616" w:rsidP="00C9741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801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E41" w:rsidRPr="0080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 w:rsidR="00801E41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расходы  бюджета в проекте бюджета предусматриваются на 202</w:t>
      </w:r>
      <w:r w:rsidR="00801E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1E41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</w:t>
      </w:r>
      <w:r w:rsidR="00801E41">
        <w:rPr>
          <w:rFonts w:ascii="Times New Roman" w:eastAsia="Times New Roman" w:hAnsi="Times New Roman" w:cs="Times New Roman"/>
          <w:sz w:val="24"/>
          <w:szCs w:val="24"/>
          <w:lang w:eastAsia="ru-RU"/>
        </w:rPr>
        <w:t>7580,0</w:t>
      </w:r>
      <w:r w:rsidR="00801E41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имеющих целевое назначение, на 202</w:t>
      </w:r>
      <w:r w:rsidR="00801E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1E41" w:rsidRPr="003C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01E41">
        <w:rPr>
          <w:rFonts w:ascii="Times New Roman" w:eastAsia="Times New Roman" w:hAnsi="Times New Roman" w:cs="Times New Roman"/>
          <w:sz w:val="24"/>
          <w:szCs w:val="24"/>
          <w:lang w:eastAsia="ru-RU"/>
        </w:rPr>
        <w:t>35563,7</w:t>
      </w:r>
      <w:r w:rsidR="0001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5,0 %.</w:t>
      </w:r>
    </w:p>
    <w:p w:rsidR="008D0A60" w:rsidRPr="00985671" w:rsidRDefault="00286616" w:rsidP="00C97414">
      <w:pPr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A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8D0A6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B0404" w:rsidRPr="008D0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A60" w:rsidRPr="008D0A60">
        <w:rPr>
          <w:rFonts w:ascii="Times New Roman" w:eastAsia="Calibri" w:hAnsi="Times New Roman" w:cs="Times New Roman"/>
          <w:sz w:val="24"/>
          <w:szCs w:val="24"/>
        </w:rPr>
        <w:t>Предельный</w:t>
      </w:r>
      <w:r w:rsidR="008D0A60" w:rsidRPr="001415B4">
        <w:rPr>
          <w:rFonts w:ascii="Times New Roman" w:eastAsia="Calibri" w:hAnsi="Times New Roman" w:cs="Times New Roman"/>
          <w:sz w:val="24"/>
          <w:szCs w:val="24"/>
        </w:rPr>
        <w:t xml:space="preserve"> объем муниципального долга в проекте решения устанавливается в соответствии с  Бюджетным кодексом в 20</w:t>
      </w:r>
      <w:r w:rsidR="008D0A60">
        <w:rPr>
          <w:rFonts w:ascii="Times New Roman" w:eastAsia="Calibri" w:hAnsi="Times New Roman" w:cs="Times New Roman"/>
          <w:sz w:val="24"/>
          <w:szCs w:val="24"/>
        </w:rPr>
        <w:t>20</w:t>
      </w:r>
      <w:r w:rsidR="008D0A60" w:rsidRPr="001415B4">
        <w:rPr>
          <w:rFonts w:ascii="Times New Roman" w:eastAsia="Calibri" w:hAnsi="Times New Roman" w:cs="Times New Roman"/>
          <w:sz w:val="24"/>
          <w:szCs w:val="24"/>
        </w:rPr>
        <w:t xml:space="preserve"> году  в сумме 100000,0 тыс. рублей, в 202</w:t>
      </w:r>
      <w:r w:rsidR="008D0A60">
        <w:rPr>
          <w:rFonts w:ascii="Times New Roman" w:eastAsia="Calibri" w:hAnsi="Times New Roman" w:cs="Times New Roman"/>
          <w:sz w:val="24"/>
          <w:szCs w:val="24"/>
        </w:rPr>
        <w:t>1</w:t>
      </w:r>
      <w:r w:rsidR="008D0A60" w:rsidRPr="001415B4">
        <w:rPr>
          <w:rFonts w:ascii="Times New Roman" w:eastAsia="Calibri" w:hAnsi="Times New Roman" w:cs="Times New Roman"/>
          <w:sz w:val="24"/>
          <w:szCs w:val="24"/>
        </w:rPr>
        <w:t xml:space="preserve"> году в сумме 100000,0 тыс. рублей, в 202</w:t>
      </w:r>
      <w:r w:rsidR="008D0A60">
        <w:rPr>
          <w:rFonts w:ascii="Times New Roman" w:eastAsia="Calibri" w:hAnsi="Times New Roman" w:cs="Times New Roman"/>
          <w:sz w:val="24"/>
          <w:szCs w:val="24"/>
        </w:rPr>
        <w:t>2</w:t>
      </w:r>
      <w:r w:rsidR="008D0A60" w:rsidRPr="001415B4">
        <w:rPr>
          <w:rFonts w:ascii="Times New Roman" w:eastAsia="Calibri" w:hAnsi="Times New Roman" w:cs="Times New Roman"/>
          <w:sz w:val="24"/>
          <w:szCs w:val="24"/>
        </w:rPr>
        <w:t xml:space="preserve"> году – 100000,0 тыс. рублей.</w:t>
      </w:r>
    </w:p>
    <w:p w:rsidR="008D0A60" w:rsidRPr="001415B4" w:rsidRDefault="008D0A60" w:rsidP="00C974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1415B4">
        <w:rPr>
          <w:rFonts w:ascii="Times New Roman" w:eastAsia="Calibri" w:hAnsi="Times New Roman" w:cs="Times New Roman"/>
          <w:sz w:val="24"/>
          <w:szCs w:val="24"/>
        </w:rPr>
        <w:t>Верхний предел муниципального долга по состоянию на 1 января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  <w:r>
        <w:rPr>
          <w:rFonts w:ascii="Times New Roman" w:eastAsia="Calibri" w:hAnsi="Times New Roman" w:cs="Times New Roman"/>
          <w:sz w:val="24"/>
          <w:szCs w:val="24"/>
        </w:rPr>
        <w:t>18328,0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 верхний предел долга по муниципальным гарантиям 0,0 тыс. руб., на 1 января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>0,0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 верхний предел долга по муниципальным гарантиям 0,0 тыс. руб.,  на 1 января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года - 0 тыс. рублей, в том числе  верхний предел долга</w:t>
      </w:r>
      <w:proofErr w:type="gramEnd"/>
      <w:r w:rsidRPr="001415B4">
        <w:rPr>
          <w:rFonts w:ascii="Times New Roman" w:eastAsia="Calibri" w:hAnsi="Times New Roman" w:cs="Times New Roman"/>
          <w:sz w:val="24"/>
          <w:szCs w:val="24"/>
        </w:rPr>
        <w:t xml:space="preserve"> по муниципальным гарантиям 0,0 тыс. руб.</w:t>
      </w:r>
    </w:p>
    <w:p w:rsidR="00F31113" w:rsidRDefault="00F31113" w:rsidP="00C9741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4 текстовой части проекта решения указан «верхний предел муниципального долга» без конкретизации вида долга («внешний» или «внутренний»), а также «верхний предел долга по муниципальным гарантиям» без конкретизации вида долга («</w:t>
      </w:r>
      <w:r>
        <w:rPr>
          <w:rFonts w:ascii="Times New Roman" w:hAnsi="Times New Roman" w:cs="Times New Roman"/>
          <w:sz w:val="24"/>
          <w:szCs w:val="24"/>
        </w:rPr>
        <w:t>верхнего предела долга по муниципальным гарантиям в валюте Российской Федерации» или  «верхнего предела долга по муниципальным гарантиям в иностранной валюте»)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соответствует требованиям пункта 2 статьи 107 БК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8D0A60" w:rsidRPr="00F31113" w:rsidRDefault="00F31113" w:rsidP="00C9741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КСК предлагает внести корректировки в текстовую часть проекта решения.</w:t>
      </w:r>
    </w:p>
    <w:p w:rsidR="005F2CC8" w:rsidRPr="001117E5" w:rsidRDefault="00286616" w:rsidP="00C974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C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="005F2C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2CC8" w:rsidRPr="005F2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5F2CC8" w:rsidRPr="005F2C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2CC8"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роекте бюджета городского округа город Михайловка предусмотрено финансирование 36 программ, в том числе: 31 </w:t>
      </w:r>
      <w:proofErr w:type="gramStart"/>
      <w:r w:rsidR="005F2CC8" w:rsidRPr="007A4A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F2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5F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5 ведомственных программ. </w:t>
      </w:r>
      <w:r w:rsidR="005F2CC8"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</w:t>
      </w:r>
      <w:r w:rsidR="005F2CC8" w:rsidRPr="000A6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="005F2CC8"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F2C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2CC8"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определено в размере </w:t>
      </w:r>
      <w:r w:rsidR="005F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1229456,0 </w:t>
      </w:r>
      <w:r w:rsidR="005F2CC8" w:rsidRPr="000A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</w:t>
      </w:r>
    </w:p>
    <w:p w:rsidR="005F2CC8" w:rsidRPr="00F7307E" w:rsidRDefault="005F2CC8" w:rsidP="00C9741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04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Pr="0099047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Проверкой установлено:  в результате технической ошибки, в Приложении № 6 проекта бюджета,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21, 2022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годов, предусмотрены  ассигнования по муниципальной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программе «Устойчивое развитие сельских территорий на 2014-2017 годы и на период до 2020 года», </w:t>
      </w:r>
      <w:r w:rsidRPr="00990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т.е. сроки реализации программы не соответствуют планов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ому утверждаемому периоду. С учетом изложенного КСК предлагает учесть данное замечание при рассмотрении проекта решения.</w:t>
      </w:r>
    </w:p>
    <w:p w:rsidR="00286616" w:rsidRPr="00BE2A6E" w:rsidRDefault="00286616" w:rsidP="00C974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71C71" w:rsidRPr="00257E79" w:rsidRDefault="00286616" w:rsidP="00C9741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7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BC20EC" w:rsidRPr="00257E79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вышеизложенного, к</w:t>
      </w:r>
      <w:r w:rsidRPr="00257E79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онтрольно-счетная комиссия городского округа город Михайловка предлагает</w:t>
      </w:r>
      <w:r w:rsidR="00BC20EC" w:rsidRPr="00257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</w:t>
      </w:r>
      <w:r w:rsidR="00257E79" w:rsidRPr="00257E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рассмотрении</w:t>
      </w:r>
      <w:r w:rsidRPr="00257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7E79" w:rsidRPr="00257E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Михайловской городской Думой решения учесть информацию, содержащуюся в заключении КСК и принять решение в первом чтении.   </w:t>
      </w:r>
    </w:p>
    <w:p w:rsidR="00286616" w:rsidRPr="00721941" w:rsidRDefault="00286616" w:rsidP="00C9741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9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286616" w:rsidRPr="00721941" w:rsidRDefault="00286616" w:rsidP="00286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Председатель КСК                                                                                                  В.Г. Гудкова </w:t>
      </w:r>
    </w:p>
    <w:p w:rsidR="00286616" w:rsidRPr="00721941" w:rsidRDefault="00286616" w:rsidP="00286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6616" w:rsidRPr="00721941" w:rsidRDefault="00286616" w:rsidP="00286616">
      <w:pPr>
        <w:tabs>
          <w:tab w:val="left" w:pos="78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Консультант КСК                                                                                               </w:t>
      </w:r>
      <w:proofErr w:type="spellStart"/>
      <w:r w:rsidRPr="00721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У.С.Антонцева</w:t>
      </w:r>
      <w:proofErr w:type="spellEnd"/>
    </w:p>
    <w:p w:rsidR="00286616" w:rsidRPr="00721941" w:rsidRDefault="00286616" w:rsidP="00286616">
      <w:pPr>
        <w:tabs>
          <w:tab w:val="left" w:pos="78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4674" w:rsidRPr="00AE3568" w:rsidRDefault="00286616" w:rsidP="00AE3568">
      <w:pPr>
        <w:tabs>
          <w:tab w:val="left" w:pos="78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Консул</w:t>
      </w:r>
      <w:r w:rsidR="00AE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ьтант КСК</w:t>
      </w:r>
      <w:r w:rsidR="00AE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="00AE35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Ю.П.Петрова</w:t>
      </w:r>
      <w:proofErr w:type="spellEnd"/>
    </w:p>
    <w:sectPr w:rsidR="00EA4674" w:rsidRPr="00AE3568" w:rsidSect="008E7416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6F" w:rsidRDefault="0043316F" w:rsidP="003232A0">
      <w:pPr>
        <w:spacing w:after="0" w:line="240" w:lineRule="auto"/>
      </w:pPr>
      <w:r>
        <w:separator/>
      </w:r>
    </w:p>
  </w:endnote>
  <w:endnote w:type="continuationSeparator" w:id="0">
    <w:p w:rsidR="0043316F" w:rsidRDefault="0043316F" w:rsidP="0032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6F" w:rsidRDefault="0043316F" w:rsidP="003232A0">
      <w:pPr>
        <w:spacing w:after="0" w:line="240" w:lineRule="auto"/>
      </w:pPr>
      <w:r>
        <w:separator/>
      </w:r>
    </w:p>
  </w:footnote>
  <w:footnote w:type="continuationSeparator" w:id="0">
    <w:p w:rsidR="0043316F" w:rsidRDefault="0043316F" w:rsidP="0032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796782"/>
      <w:docPartObj>
        <w:docPartGallery w:val="Page Numbers (Top of Page)"/>
        <w:docPartUnique/>
      </w:docPartObj>
    </w:sdtPr>
    <w:sdtEndPr/>
    <w:sdtContent>
      <w:p w:rsidR="00BC20EC" w:rsidRDefault="00BC20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91" w:rsidRPr="00081E91">
          <w:rPr>
            <w:noProof/>
            <w:lang w:val="ru-RU"/>
          </w:rPr>
          <w:t>2</w:t>
        </w:r>
        <w:r>
          <w:fldChar w:fldCharType="end"/>
        </w:r>
      </w:p>
    </w:sdtContent>
  </w:sdt>
  <w:p w:rsidR="00BC20EC" w:rsidRDefault="00BC20E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0466F47"/>
    <w:multiLevelType w:val="hybridMultilevel"/>
    <w:tmpl w:val="556A25C0"/>
    <w:lvl w:ilvl="0" w:tplc="17126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27B57"/>
    <w:multiLevelType w:val="hybridMultilevel"/>
    <w:tmpl w:val="6A28029A"/>
    <w:lvl w:ilvl="0" w:tplc="D85A7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21692"/>
    <w:multiLevelType w:val="hybridMultilevel"/>
    <w:tmpl w:val="694C1124"/>
    <w:lvl w:ilvl="0" w:tplc="DC147972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>
    <w:nsid w:val="4188364F"/>
    <w:multiLevelType w:val="hybridMultilevel"/>
    <w:tmpl w:val="C2D4B6C0"/>
    <w:lvl w:ilvl="0" w:tplc="74E28CC4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4A403F65"/>
    <w:multiLevelType w:val="hybridMultilevel"/>
    <w:tmpl w:val="DAC2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181A"/>
    <w:multiLevelType w:val="hybridMultilevel"/>
    <w:tmpl w:val="55D6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C6248"/>
    <w:multiLevelType w:val="hybridMultilevel"/>
    <w:tmpl w:val="DAC2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0ADC"/>
    <w:multiLevelType w:val="hybridMultilevel"/>
    <w:tmpl w:val="DAC2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44DF9"/>
    <w:multiLevelType w:val="hybridMultilevel"/>
    <w:tmpl w:val="95AED964"/>
    <w:lvl w:ilvl="0" w:tplc="FB50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D143E"/>
    <w:multiLevelType w:val="hybridMultilevel"/>
    <w:tmpl w:val="6F86C338"/>
    <w:lvl w:ilvl="0" w:tplc="E69C986C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FC"/>
    <w:rsid w:val="000021D1"/>
    <w:rsid w:val="00003118"/>
    <w:rsid w:val="00003663"/>
    <w:rsid w:val="00007AAF"/>
    <w:rsid w:val="0001274B"/>
    <w:rsid w:val="00012FB0"/>
    <w:rsid w:val="00015A57"/>
    <w:rsid w:val="00017875"/>
    <w:rsid w:val="0002268A"/>
    <w:rsid w:val="00024D51"/>
    <w:rsid w:val="00024F36"/>
    <w:rsid w:val="000274FE"/>
    <w:rsid w:val="000277D8"/>
    <w:rsid w:val="00040F2F"/>
    <w:rsid w:val="00043180"/>
    <w:rsid w:val="0005023C"/>
    <w:rsid w:val="00050D79"/>
    <w:rsid w:val="00055482"/>
    <w:rsid w:val="00062A66"/>
    <w:rsid w:val="00064EF5"/>
    <w:rsid w:val="000708DD"/>
    <w:rsid w:val="000762EE"/>
    <w:rsid w:val="00076BFB"/>
    <w:rsid w:val="000819F6"/>
    <w:rsid w:val="00081E91"/>
    <w:rsid w:val="000828FC"/>
    <w:rsid w:val="0008564E"/>
    <w:rsid w:val="00086446"/>
    <w:rsid w:val="000972FA"/>
    <w:rsid w:val="000A0ADB"/>
    <w:rsid w:val="000A1699"/>
    <w:rsid w:val="000B0214"/>
    <w:rsid w:val="000B10E1"/>
    <w:rsid w:val="000C0766"/>
    <w:rsid w:val="000D6042"/>
    <w:rsid w:val="000E4712"/>
    <w:rsid w:val="000F2FCC"/>
    <w:rsid w:val="000F3AEC"/>
    <w:rsid w:val="000F4F33"/>
    <w:rsid w:val="001002B8"/>
    <w:rsid w:val="00107676"/>
    <w:rsid w:val="001078D2"/>
    <w:rsid w:val="001102A3"/>
    <w:rsid w:val="00116403"/>
    <w:rsid w:val="001218D2"/>
    <w:rsid w:val="001244D0"/>
    <w:rsid w:val="001253A3"/>
    <w:rsid w:val="0015534B"/>
    <w:rsid w:val="0016171B"/>
    <w:rsid w:val="001704FA"/>
    <w:rsid w:val="00170FC8"/>
    <w:rsid w:val="001946E9"/>
    <w:rsid w:val="0019579A"/>
    <w:rsid w:val="001960F6"/>
    <w:rsid w:val="001A75BA"/>
    <w:rsid w:val="001C2FC6"/>
    <w:rsid w:val="001D09AB"/>
    <w:rsid w:val="001D1D0D"/>
    <w:rsid w:val="001D1FB7"/>
    <w:rsid w:val="001D37C8"/>
    <w:rsid w:val="001D77BA"/>
    <w:rsid w:val="001E033D"/>
    <w:rsid w:val="001E08B3"/>
    <w:rsid w:val="001E12B9"/>
    <w:rsid w:val="001F49C7"/>
    <w:rsid w:val="001F5C93"/>
    <w:rsid w:val="001F7606"/>
    <w:rsid w:val="001F7F53"/>
    <w:rsid w:val="002047D5"/>
    <w:rsid w:val="002063B0"/>
    <w:rsid w:val="00206D2E"/>
    <w:rsid w:val="00211718"/>
    <w:rsid w:val="00214A11"/>
    <w:rsid w:val="00220707"/>
    <w:rsid w:val="00221C19"/>
    <w:rsid w:val="0022678C"/>
    <w:rsid w:val="00231B6E"/>
    <w:rsid w:val="002405CE"/>
    <w:rsid w:val="00241BDE"/>
    <w:rsid w:val="0024310E"/>
    <w:rsid w:val="00243A68"/>
    <w:rsid w:val="00251F02"/>
    <w:rsid w:val="0025395C"/>
    <w:rsid w:val="00257E79"/>
    <w:rsid w:val="00261DC2"/>
    <w:rsid w:val="00265DCA"/>
    <w:rsid w:val="00273282"/>
    <w:rsid w:val="0027526A"/>
    <w:rsid w:val="002757EA"/>
    <w:rsid w:val="002812B6"/>
    <w:rsid w:val="00283E51"/>
    <w:rsid w:val="0028533E"/>
    <w:rsid w:val="00286616"/>
    <w:rsid w:val="00287664"/>
    <w:rsid w:val="002968B9"/>
    <w:rsid w:val="002978A0"/>
    <w:rsid w:val="002A3B89"/>
    <w:rsid w:val="002A573F"/>
    <w:rsid w:val="002B13E5"/>
    <w:rsid w:val="002B1B9C"/>
    <w:rsid w:val="002B212A"/>
    <w:rsid w:val="002D1484"/>
    <w:rsid w:val="002E20D8"/>
    <w:rsid w:val="002E2D05"/>
    <w:rsid w:val="002E5FBE"/>
    <w:rsid w:val="002E60B4"/>
    <w:rsid w:val="002E77A8"/>
    <w:rsid w:val="002F339E"/>
    <w:rsid w:val="002F35FF"/>
    <w:rsid w:val="00302164"/>
    <w:rsid w:val="0031652E"/>
    <w:rsid w:val="00322F97"/>
    <w:rsid w:val="003232A0"/>
    <w:rsid w:val="00327DC3"/>
    <w:rsid w:val="00336091"/>
    <w:rsid w:val="00354E61"/>
    <w:rsid w:val="0035562B"/>
    <w:rsid w:val="0035640E"/>
    <w:rsid w:val="00356B43"/>
    <w:rsid w:val="00361FCB"/>
    <w:rsid w:val="003679A3"/>
    <w:rsid w:val="003725AC"/>
    <w:rsid w:val="00377DCA"/>
    <w:rsid w:val="00383F05"/>
    <w:rsid w:val="00390E80"/>
    <w:rsid w:val="003A2882"/>
    <w:rsid w:val="003A719B"/>
    <w:rsid w:val="003B0A21"/>
    <w:rsid w:val="003B3EC8"/>
    <w:rsid w:val="003B7DFB"/>
    <w:rsid w:val="003C3FEB"/>
    <w:rsid w:val="003C5749"/>
    <w:rsid w:val="003E0C29"/>
    <w:rsid w:val="003E0C87"/>
    <w:rsid w:val="003F4CBF"/>
    <w:rsid w:val="003F701D"/>
    <w:rsid w:val="00416D80"/>
    <w:rsid w:val="00421985"/>
    <w:rsid w:val="00421C38"/>
    <w:rsid w:val="0043316F"/>
    <w:rsid w:val="004362FC"/>
    <w:rsid w:val="00436B75"/>
    <w:rsid w:val="00437815"/>
    <w:rsid w:val="004452B6"/>
    <w:rsid w:val="0044560E"/>
    <w:rsid w:val="00456FF1"/>
    <w:rsid w:val="00465E11"/>
    <w:rsid w:val="00472C9F"/>
    <w:rsid w:val="00487946"/>
    <w:rsid w:val="00492342"/>
    <w:rsid w:val="00494316"/>
    <w:rsid w:val="00497327"/>
    <w:rsid w:val="00497BFE"/>
    <w:rsid w:val="004B0743"/>
    <w:rsid w:val="004B2030"/>
    <w:rsid w:val="004B25FA"/>
    <w:rsid w:val="004C70EA"/>
    <w:rsid w:val="004C7203"/>
    <w:rsid w:val="004D33E6"/>
    <w:rsid w:val="004D7521"/>
    <w:rsid w:val="004E4F40"/>
    <w:rsid w:val="004F2E4C"/>
    <w:rsid w:val="00513016"/>
    <w:rsid w:val="0051317E"/>
    <w:rsid w:val="0052442C"/>
    <w:rsid w:val="00525661"/>
    <w:rsid w:val="005264A4"/>
    <w:rsid w:val="005301C7"/>
    <w:rsid w:val="005303EB"/>
    <w:rsid w:val="00535C96"/>
    <w:rsid w:val="00540FDD"/>
    <w:rsid w:val="00542BAA"/>
    <w:rsid w:val="00544F9D"/>
    <w:rsid w:val="0055777B"/>
    <w:rsid w:val="005666E4"/>
    <w:rsid w:val="00575E68"/>
    <w:rsid w:val="00581B60"/>
    <w:rsid w:val="00582FE6"/>
    <w:rsid w:val="00595439"/>
    <w:rsid w:val="005974CF"/>
    <w:rsid w:val="005B59F7"/>
    <w:rsid w:val="005C03D3"/>
    <w:rsid w:val="005C407C"/>
    <w:rsid w:val="005D0273"/>
    <w:rsid w:val="005D797E"/>
    <w:rsid w:val="005E117C"/>
    <w:rsid w:val="005E12A4"/>
    <w:rsid w:val="005E1F47"/>
    <w:rsid w:val="005E477A"/>
    <w:rsid w:val="005E6BD3"/>
    <w:rsid w:val="005F2456"/>
    <w:rsid w:val="005F2CC8"/>
    <w:rsid w:val="005F78C5"/>
    <w:rsid w:val="006049E8"/>
    <w:rsid w:val="00607F67"/>
    <w:rsid w:val="00610FDF"/>
    <w:rsid w:val="0061232E"/>
    <w:rsid w:val="0061417B"/>
    <w:rsid w:val="006161CA"/>
    <w:rsid w:val="00621E41"/>
    <w:rsid w:val="00622C0F"/>
    <w:rsid w:val="0062652C"/>
    <w:rsid w:val="006548CB"/>
    <w:rsid w:val="0065674A"/>
    <w:rsid w:val="00657617"/>
    <w:rsid w:val="00663A6A"/>
    <w:rsid w:val="006641C3"/>
    <w:rsid w:val="006645B4"/>
    <w:rsid w:val="00671C71"/>
    <w:rsid w:val="00673B56"/>
    <w:rsid w:val="00674236"/>
    <w:rsid w:val="00675D48"/>
    <w:rsid w:val="00694434"/>
    <w:rsid w:val="006A3D70"/>
    <w:rsid w:val="006A4092"/>
    <w:rsid w:val="006A779A"/>
    <w:rsid w:val="006C25A8"/>
    <w:rsid w:val="006C2DE3"/>
    <w:rsid w:val="006C2E20"/>
    <w:rsid w:val="006D5E58"/>
    <w:rsid w:val="006E0F21"/>
    <w:rsid w:val="006E797F"/>
    <w:rsid w:val="006F194F"/>
    <w:rsid w:val="006F3647"/>
    <w:rsid w:val="006F73EC"/>
    <w:rsid w:val="007011F8"/>
    <w:rsid w:val="00704685"/>
    <w:rsid w:val="007051FF"/>
    <w:rsid w:val="007052E6"/>
    <w:rsid w:val="00711983"/>
    <w:rsid w:val="00714E04"/>
    <w:rsid w:val="00721941"/>
    <w:rsid w:val="007249A0"/>
    <w:rsid w:val="00730251"/>
    <w:rsid w:val="007342C9"/>
    <w:rsid w:val="00736BCD"/>
    <w:rsid w:val="00742F16"/>
    <w:rsid w:val="00756991"/>
    <w:rsid w:val="00757CE4"/>
    <w:rsid w:val="0076018E"/>
    <w:rsid w:val="007668E9"/>
    <w:rsid w:val="00767DE5"/>
    <w:rsid w:val="0077362D"/>
    <w:rsid w:val="00774323"/>
    <w:rsid w:val="00774BB4"/>
    <w:rsid w:val="0077739C"/>
    <w:rsid w:val="007820F7"/>
    <w:rsid w:val="00784EB2"/>
    <w:rsid w:val="007A0398"/>
    <w:rsid w:val="007A2CF0"/>
    <w:rsid w:val="007A60FE"/>
    <w:rsid w:val="007A6328"/>
    <w:rsid w:val="007B2671"/>
    <w:rsid w:val="007B4208"/>
    <w:rsid w:val="007B5012"/>
    <w:rsid w:val="007C1CFE"/>
    <w:rsid w:val="007C7D95"/>
    <w:rsid w:val="007D1875"/>
    <w:rsid w:val="007D19C0"/>
    <w:rsid w:val="007D2364"/>
    <w:rsid w:val="007D28E9"/>
    <w:rsid w:val="007D2DEB"/>
    <w:rsid w:val="007E14C1"/>
    <w:rsid w:val="007E2E1B"/>
    <w:rsid w:val="007E43B9"/>
    <w:rsid w:val="007F0C3C"/>
    <w:rsid w:val="007F595C"/>
    <w:rsid w:val="007F76A5"/>
    <w:rsid w:val="00800362"/>
    <w:rsid w:val="00801E41"/>
    <w:rsid w:val="008028BA"/>
    <w:rsid w:val="008049A5"/>
    <w:rsid w:val="00825787"/>
    <w:rsid w:val="0082663F"/>
    <w:rsid w:val="0083099F"/>
    <w:rsid w:val="00830F6C"/>
    <w:rsid w:val="00833F66"/>
    <w:rsid w:val="00837418"/>
    <w:rsid w:val="00841346"/>
    <w:rsid w:val="00860F02"/>
    <w:rsid w:val="00863A81"/>
    <w:rsid w:val="00866604"/>
    <w:rsid w:val="00877BB7"/>
    <w:rsid w:val="00882086"/>
    <w:rsid w:val="008827EF"/>
    <w:rsid w:val="00884290"/>
    <w:rsid w:val="0088690E"/>
    <w:rsid w:val="00894324"/>
    <w:rsid w:val="008B6937"/>
    <w:rsid w:val="008B77AB"/>
    <w:rsid w:val="008C11A8"/>
    <w:rsid w:val="008C1B14"/>
    <w:rsid w:val="008C726C"/>
    <w:rsid w:val="008C77F4"/>
    <w:rsid w:val="008D0156"/>
    <w:rsid w:val="008D0A60"/>
    <w:rsid w:val="008D2929"/>
    <w:rsid w:val="008E3610"/>
    <w:rsid w:val="008E7416"/>
    <w:rsid w:val="009000AD"/>
    <w:rsid w:val="00903127"/>
    <w:rsid w:val="0091308C"/>
    <w:rsid w:val="00920CB6"/>
    <w:rsid w:val="009238F2"/>
    <w:rsid w:val="009317A0"/>
    <w:rsid w:val="00932D08"/>
    <w:rsid w:val="00933347"/>
    <w:rsid w:val="00933719"/>
    <w:rsid w:val="009352F8"/>
    <w:rsid w:val="009409CC"/>
    <w:rsid w:val="0094289C"/>
    <w:rsid w:val="009436BA"/>
    <w:rsid w:val="00943B3B"/>
    <w:rsid w:val="00943D59"/>
    <w:rsid w:val="0095189E"/>
    <w:rsid w:val="00952739"/>
    <w:rsid w:val="009659EE"/>
    <w:rsid w:val="009734B9"/>
    <w:rsid w:val="00974981"/>
    <w:rsid w:val="00985671"/>
    <w:rsid w:val="00991AEF"/>
    <w:rsid w:val="00994C94"/>
    <w:rsid w:val="009A1EAD"/>
    <w:rsid w:val="009A3CB9"/>
    <w:rsid w:val="009A401A"/>
    <w:rsid w:val="009A5326"/>
    <w:rsid w:val="009B4AC8"/>
    <w:rsid w:val="009B5280"/>
    <w:rsid w:val="009B642D"/>
    <w:rsid w:val="009C1604"/>
    <w:rsid w:val="009D10B9"/>
    <w:rsid w:val="009D179E"/>
    <w:rsid w:val="009D1EFC"/>
    <w:rsid w:val="009D3ED0"/>
    <w:rsid w:val="009E1BB1"/>
    <w:rsid w:val="009E3666"/>
    <w:rsid w:val="009E7FBA"/>
    <w:rsid w:val="009F10A4"/>
    <w:rsid w:val="009F25EE"/>
    <w:rsid w:val="009F71F1"/>
    <w:rsid w:val="00A07D10"/>
    <w:rsid w:val="00A12A59"/>
    <w:rsid w:val="00A13682"/>
    <w:rsid w:val="00A153EA"/>
    <w:rsid w:val="00A16CF4"/>
    <w:rsid w:val="00A3053D"/>
    <w:rsid w:val="00A342C2"/>
    <w:rsid w:val="00A37002"/>
    <w:rsid w:val="00A41C45"/>
    <w:rsid w:val="00A5068F"/>
    <w:rsid w:val="00A558A0"/>
    <w:rsid w:val="00A56161"/>
    <w:rsid w:val="00A57E5E"/>
    <w:rsid w:val="00A606F0"/>
    <w:rsid w:val="00A76211"/>
    <w:rsid w:val="00A8153F"/>
    <w:rsid w:val="00A82ADC"/>
    <w:rsid w:val="00A95B98"/>
    <w:rsid w:val="00AB223C"/>
    <w:rsid w:val="00AC4B73"/>
    <w:rsid w:val="00AD5EAC"/>
    <w:rsid w:val="00AE16ED"/>
    <w:rsid w:val="00AE18B4"/>
    <w:rsid w:val="00AE3568"/>
    <w:rsid w:val="00AE7540"/>
    <w:rsid w:val="00B010A2"/>
    <w:rsid w:val="00B03B39"/>
    <w:rsid w:val="00B03C73"/>
    <w:rsid w:val="00B03D28"/>
    <w:rsid w:val="00B06158"/>
    <w:rsid w:val="00B12758"/>
    <w:rsid w:val="00B132A5"/>
    <w:rsid w:val="00B1400C"/>
    <w:rsid w:val="00B14D09"/>
    <w:rsid w:val="00B16EF8"/>
    <w:rsid w:val="00B218B2"/>
    <w:rsid w:val="00B22F9A"/>
    <w:rsid w:val="00B23AD8"/>
    <w:rsid w:val="00B272DD"/>
    <w:rsid w:val="00B30AA3"/>
    <w:rsid w:val="00B30C54"/>
    <w:rsid w:val="00B349A0"/>
    <w:rsid w:val="00B401BC"/>
    <w:rsid w:val="00B568CB"/>
    <w:rsid w:val="00B67FEE"/>
    <w:rsid w:val="00B71728"/>
    <w:rsid w:val="00B73524"/>
    <w:rsid w:val="00B74B7B"/>
    <w:rsid w:val="00B972B9"/>
    <w:rsid w:val="00BA0FF2"/>
    <w:rsid w:val="00BA6C07"/>
    <w:rsid w:val="00BB2CE4"/>
    <w:rsid w:val="00BC06F9"/>
    <w:rsid w:val="00BC20EC"/>
    <w:rsid w:val="00BC7551"/>
    <w:rsid w:val="00BD1F1D"/>
    <w:rsid w:val="00BD4041"/>
    <w:rsid w:val="00BD5790"/>
    <w:rsid w:val="00BD7606"/>
    <w:rsid w:val="00BE2A6E"/>
    <w:rsid w:val="00BE344F"/>
    <w:rsid w:val="00BE577B"/>
    <w:rsid w:val="00BF2918"/>
    <w:rsid w:val="00C04786"/>
    <w:rsid w:val="00C12999"/>
    <w:rsid w:val="00C2036F"/>
    <w:rsid w:val="00C276D4"/>
    <w:rsid w:val="00C44CC4"/>
    <w:rsid w:val="00C47D9F"/>
    <w:rsid w:val="00C521E8"/>
    <w:rsid w:val="00C5238E"/>
    <w:rsid w:val="00C57C33"/>
    <w:rsid w:val="00C70BA5"/>
    <w:rsid w:val="00C74B52"/>
    <w:rsid w:val="00C97414"/>
    <w:rsid w:val="00CA1BE4"/>
    <w:rsid w:val="00CA3228"/>
    <w:rsid w:val="00CA4F86"/>
    <w:rsid w:val="00CB63EC"/>
    <w:rsid w:val="00CB7B1C"/>
    <w:rsid w:val="00CC0EB0"/>
    <w:rsid w:val="00CC2D78"/>
    <w:rsid w:val="00CC3A73"/>
    <w:rsid w:val="00CC48C9"/>
    <w:rsid w:val="00CD019C"/>
    <w:rsid w:val="00CD2FF5"/>
    <w:rsid w:val="00CD5762"/>
    <w:rsid w:val="00CE4B91"/>
    <w:rsid w:val="00CF275B"/>
    <w:rsid w:val="00CF4915"/>
    <w:rsid w:val="00CF748F"/>
    <w:rsid w:val="00D00329"/>
    <w:rsid w:val="00D02F03"/>
    <w:rsid w:val="00D03AD3"/>
    <w:rsid w:val="00D10460"/>
    <w:rsid w:val="00D118A8"/>
    <w:rsid w:val="00D3174B"/>
    <w:rsid w:val="00D33E88"/>
    <w:rsid w:val="00D34A43"/>
    <w:rsid w:val="00D42087"/>
    <w:rsid w:val="00D46E23"/>
    <w:rsid w:val="00D4718E"/>
    <w:rsid w:val="00D74F2C"/>
    <w:rsid w:val="00D96733"/>
    <w:rsid w:val="00DA4482"/>
    <w:rsid w:val="00DA5DCD"/>
    <w:rsid w:val="00DB0404"/>
    <w:rsid w:val="00DB1E1F"/>
    <w:rsid w:val="00DB34F7"/>
    <w:rsid w:val="00DC1BCC"/>
    <w:rsid w:val="00DC2BD2"/>
    <w:rsid w:val="00DD295B"/>
    <w:rsid w:val="00DD5B4C"/>
    <w:rsid w:val="00DD72EC"/>
    <w:rsid w:val="00DE4CDB"/>
    <w:rsid w:val="00DF03B5"/>
    <w:rsid w:val="00DF132C"/>
    <w:rsid w:val="00DF1AC9"/>
    <w:rsid w:val="00DF4653"/>
    <w:rsid w:val="00DF704F"/>
    <w:rsid w:val="00E01DBF"/>
    <w:rsid w:val="00E05492"/>
    <w:rsid w:val="00E05A5D"/>
    <w:rsid w:val="00E11A3A"/>
    <w:rsid w:val="00E20A9E"/>
    <w:rsid w:val="00E274D6"/>
    <w:rsid w:val="00E34755"/>
    <w:rsid w:val="00E40E67"/>
    <w:rsid w:val="00E5186F"/>
    <w:rsid w:val="00E529F6"/>
    <w:rsid w:val="00E563BF"/>
    <w:rsid w:val="00E623F9"/>
    <w:rsid w:val="00E6781B"/>
    <w:rsid w:val="00E73F76"/>
    <w:rsid w:val="00E83AAE"/>
    <w:rsid w:val="00E844CD"/>
    <w:rsid w:val="00E9673E"/>
    <w:rsid w:val="00EA4674"/>
    <w:rsid w:val="00EB3037"/>
    <w:rsid w:val="00EB5D0F"/>
    <w:rsid w:val="00EC0C25"/>
    <w:rsid w:val="00EC41D4"/>
    <w:rsid w:val="00ED2CC6"/>
    <w:rsid w:val="00ED2D41"/>
    <w:rsid w:val="00ED5C20"/>
    <w:rsid w:val="00EE187C"/>
    <w:rsid w:val="00EF5342"/>
    <w:rsid w:val="00F052DA"/>
    <w:rsid w:val="00F13635"/>
    <w:rsid w:val="00F17CB7"/>
    <w:rsid w:val="00F24BB9"/>
    <w:rsid w:val="00F27107"/>
    <w:rsid w:val="00F31113"/>
    <w:rsid w:val="00F359E1"/>
    <w:rsid w:val="00F61286"/>
    <w:rsid w:val="00F628CA"/>
    <w:rsid w:val="00F64F24"/>
    <w:rsid w:val="00F67281"/>
    <w:rsid w:val="00F71338"/>
    <w:rsid w:val="00F76148"/>
    <w:rsid w:val="00F81C8E"/>
    <w:rsid w:val="00F82889"/>
    <w:rsid w:val="00F9312C"/>
    <w:rsid w:val="00F94CD4"/>
    <w:rsid w:val="00FA44A4"/>
    <w:rsid w:val="00FA570A"/>
    <w:rsid w:val="00FA612C"/>
    <w:rsid w:val="00FA7939"/>
    <w:rsid w:val="00FA7E10"/>
    <w:rsid w:val="00FB4325"/>
    <w:rsid w:val="00FC1A94"/>
    <w:rsid w:val="00FC2DE9"/>
    <w:rsid w:val="00FC6227"/>
    <w:rsid w:val="00FC623A"/>
    <w:rsid w:val="00FD148D"/>
    <w:rsid w:val="00FD71D0"/>
    <w:rsid w:val="00FE148A"/>
    <w:rsid w:val="00FE21B5"/>
    <w:rsid w:val="00FF27A6"/>
    <w:rsid w:val="00FF608C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0"/>
  </w:style>
  <w:style w:type="paragraph" w:styleId="1">
    <w:name w:val="heading 1"/>
    <w:basedOn w:val="a"/>
    <w:next w:val="a"/>
    <w:link w:val="10"/>
    <w:qFormat/>
    <w:rsid w:val="006F73EC"/>
    <w:pPr>
      <w:keepNext/>
      <w:numPr>
        <w:numId w:val="7"/>
      </w:numPr>
      <w:suppressAutoHyphens/>
      <w:spacing w:after="0" w:line="240" w:lineRule="auto"/>
      <w:ind w:right="-54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74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6D8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E12B9"/>
    <w:pPr>
      <w:widowControl w:val="0"/>
      <w:autoSpaceDE w:val="0"/>
      <w:autoSpaceDN w:val="0"/>
      <w:adjustRightInd w:val="0"/>
      <w:spacing w:after="0" w:line="34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52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73EC"/>
    <w:rPr>
      <w:rFonts w:ascii="Arial" w:eastAsia="Times New Roman" w:hAnsi="Arial" w:cs="Arial"/>
      <w:b/>
      <w:bCs/>
      <w:sz w:val="2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F73EC"/>
  </w:style>
  <w:style w:type="character" w:customStyle="1" w:styleId="WW8Num1z0">
    <w:name w:val="WW8Num1z0"/>
    <w:rsid w:val="006F73EC"/>
    <w:rPr>
      <w:rFonts w:ascii="Symbol" w:hAnsi="Symbol"/>
    </w:rPr>
  </w:style>
  <w:style w:type="character" w:customStyle="1" w:styleId="WW8Num2z0">
    <w:name w:val="WW8Num2z0"/>
    <w:rsid w:val="006F73E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F73EC"/>
    <w:rPr>
      <w:rFonts w:ascii="Symbol" w:hAnsi="Symbol"/>
    </w:rPr>
  </w:style>
  <w:style w:type="character" w:customStyle="1" w:styleId="WW8Num4z0">
    <w:name w:val="WW8Num4z0"/>
    <w:rsid w:val="006F73E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F73EC"/>
  </w:style>
  <w:style w:type="character" w:customStyle="1" w:styleId="WW8Num5z0">
    <w:name w:val="WW8Num5z0"/>
    <w:rsid w:val="006F73E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F73EC"/>
    <w:rPr>
      <w:rFonts w:ascii="Courier New" w:hAnsi="Courier New" w:cs="Courier New"/>
    </w:rPr>
  </w:style>
  <w:style w:type="character" w:customStyle="1" w:styleId="WW8Num5z2">
    <w:name w:val="WW8Num5z2"/>
    <w:rsid w:val="006F73EC"/>
    <w:rPr>
      <w:rFonts w:ascii="Wingdings" w:hAnsi="Wingdings"/>
    </w:rPr>
  </w:style>
  <w:style w:type="character" w:customStyle="1" w:styleId="WW8Num5z3">
    <w:name w:val="WW8Num5z3"/>
    <w:rsid w:val="006F73EC"/>
    <w:rPr>
      <w:rFonts w:ascii="Symbol" w:hAnsi="Symbol"/>
    </w:rPr>
  </w:style>
  <w:style w:type="character" w:customStyle="1" w:styleId="WW8Num6z0">
    <w:name w:val="WW8Num6z0"/>
    <w:rsid w:val="006F73E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F73EC"/>
    <w:rPr>
      <w:rFonts w:ascii="Courier New" w:hAnsi="Courier New" w:cs="Courier New"/>
    </w:rPr>
  </w:style>
  <w:style w:type="character" w:customStyle="1" w:styleId="WW8Num6z2">
    <w:name w:val="WW8Num6z2"/>
    <w:rsid w:val="006F73EC"/>
    <w:rPr>
      <w:rFonts w:ascii="Wingdings" w:hAnsi="Wingdings"/>
    </w:rPr>
  </w:style>
  <w:style w:type="character" w:customStyle="1" w:styleId="WW8Num6z3">
    <w:name w:val="WW8Num6z3"/>
    <w:rsid w:val="006F73EC"/>
    <w:rPr>
      <w:rFonts w:ascii="Symbol" w:hAnsi="Symbol"/>
    </w:rPr>
  </w:style>
  <w:style w:type="character" w:customStyle="1" w:styleId="30">
    <w:name w:val="Основной шрифт абзаца3"/>
    <w:rsid w:val="006F73EC"/>
  </w:style>
  <w:style w:type="character" w:customStyle="1" w:styleId="WW-Absatz-Standardschriftart">
    <w:name w:val="WW-Absatz-Standardschriftart"/>
    <w:rsid w:val="006F73EC"/>
  </w:style>
  <w:style w:type="character" w:customStyle="1" w:styleId="WW-Absatz-Standardschriftart1">
    <w:name w:val="WW-Absatz-Standardschriftart1"/>
    <w:rsid w:val="006F73EC"/>
  </w:style>
  <w:style w:type="character" w:customStyle="1" w:styleId="WW8Num2z1">
    <w:name w:val="WW8Num2z1"/>
    <w:rsid w:val="006F73EC"/>
    <w:rPr>
      <w:rFonts w:ascii="Courier New" w:hAnsi="Courier New" w:cs="Courier New"/>
    </w:rPr>
  </w:style>
  <w:style w:type="character" w:customStyle="1" w:styleId="WW8Num2z2">
    <w:name w:val="WW8Num2z2"/>
    <w:rsid w:val="006F73EC"/>
    <w:rPr>
      <w:rFonts w:ascii="Wingdings" w:hAnsi="Wingdings"/>
    </w:rPr>
  </w:style>
  <w:style w:type="character" w:customStyle="1" w:styleId="WW8Num2z3">
    <w:name w:val="WW8Num2z3"/>
    <w:rsid w:val="006F73EC"/>
    <w:rPr>
      <w:rFonts w:ascii="Symbol" w:hAnsi="Symbol"/>
    </w:rPr>
  </w:style>
  <w:style w:type="character" w:customStyle="1" w:styleId="WW8Num3z1">
    <w:name w:val="WW8Num3z1"/>
    <w:rsid w:val="006F73EC"/>
    <w:rPr>
      <w:rFonts w:ascii="Courier New" w:hAnsi="Courier New" w:cs="Courier New"/>
    </w:rPr>
  </w:style>
  <w:style w:type="character" w:customStyle="1" w:styleId="WW8Num3z2">
    <w:name w:val="WW8Num3z2"/>
    <w:rsid w:val="006F73EC"/>
    <w:rPr>
      <w:rFonts w:ascii="Wingdings" w:hAnsi="Wingdings"/>
    </w:rPr>
  </w:style>
  <w:style w:type="character" w:customStyle="1" w:styleId="21">
    <w:name w:val="Основной шрифт абзаца2"/>
    <w:rsid w:val="006F73EC"/>
  </w:style>
  <w:style w:type="character" w:customStyle="1" w:styleId="12">
    <w:name w:val="Основной шрифт абзаца1"/>
    <w:rsid w:val="006F73EC"/>
  </w:style>
  <w:style w:type="character" w:customStyle="1" w:styleId="a6">
    <w:name w:val="Символ нумерации"/>
    <w:rsid w:val="006F73EC"/>
  </w:style>
  <w:style w:type="character" w:customStyle="1" w:styleId="a7">
    <w:name w:val="Маркеры списка"/>
    <w:rsid w:val="006F73E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6F73E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6F73EC"/>
    <w:pPr>
      <w:suppressAutoHyphens/>
      <w:spacing w:after="0" w:line="240" w:lineRule="auto"/>
      <w:ind w:right="-54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F73E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b">
    <w:name w:val="List"/>
    <w:basedOn w:val="a9"/>
    <w:semiHidden/>
    <w:rsid w:val="006F73EC"/>
    <w:rPr>
      <w:rFonts w:cs="Tahoma"/>
    </w:rPr>
  </w:style>
  <w:style w:type="paragraph" w:customStyle="1" w:styleId="31">
    <w:name w:val="Название3"/>
    <w:basedOn w:val="a"/>
    <w:rsid w:val="006F73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6F73E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6F73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F73E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F73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F73E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rsid w:val="006F73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6F73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F73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6F73EC"/>
    <w:pPr>
      <w:jc w:val="center"/>
    </w:pPr>
    <w:rPr>
      <w:b/>
      <w:bCs/>
    </w:rPr>
  </w:style>
  <w:style w:type="character" w:customStyle="1" w:styleId="15">
    <w:name w:val="Текст выноски Знак1"/>
    <w:basedOn w:val="a0"/>
    <w:rsid w:val="006F73E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6">
    <w:name w:val="Сетка таблицы1"/>
    <w:basedOn w:val="a1"/>
    <w:next w:val="a5"/>
    <w:uiPriority w:val="59"/>
    <w:rsid w:val="006F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F73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73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af3"/>
    <w:uiPriority w:val="99"/>
    <w:unhideWhenUsed/>
    <w:rsid w:val="006F73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F73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rmal (Web)"/>
    <w:basedOn w:val="a"/>
    <w:uiPriority w:val="99"/>
    <w:unhideWhenUsed/>
    <w:rsid w:val="006F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73EC"/>
  </w:style>
  <w:style w:type="paragraph" w:styleId="af5">
    <w:name w:val="No Spacing"/>
    <w:uiPriority w:val="1"/>
    <w:qFormat/>
    <w:rsid w:val="006F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6F73EC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6F73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6F7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6F7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5"/>
    <w:uiPriority w:val="59"/>
    <w:rsid w:val="006F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F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6F73EC"/>
    <w:rPr>
      <w:color w:val="0000FF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6F73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F73EC"/>
  </w:style>
  <w:style w:type="paragraph" w:styleId="af9">
    <w:name w:val="List Paragraph"/>
    <w:basedOn w:val="a"/>
    <w:uiPriority w:val="34"/>
    <w:qFormat/>
    <w:rsid w:val="006F73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0"/>
  </w:style>
  <w:style w:type="paragraph" w:styleId="1">
    <w:name w:val="heading 1"/>
    <w:basedOn w:val="a"/>
    <w:next w:val="a"/>
    <w:link w:val="10"/>
    <w:qFormat/>
    <w:rsid w:val="006F73EC"/>
    <w:pPr>
      <w:keepNext/>
      <w:numPr>
        <w:numId w:val="7"/>
      </w:numPr>
      <w:suppressAutoHyphens/>
      <w:spacing w:after="0" w:line="240" w:lineRule="auto"/>
      <w:ind w:right="-54"/>
      <w:outlineLvl w:val="0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74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6D8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E12B9"/>
    <w:pPr>
      <w:widowControl w:val="0"/>
      <w:autoSpaceDE w:val="0"/>
      <w:autoSpaceDN w:val="0"/>
      <w:adjustRightInd w:val="0"/>
      <w:spacing w:after="0" w:line="348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52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73EC"/>
    <w:rPr>
      <w:rFonts w:ascii="Arial" w:eastAsia="Times New Roman" w:hAnsi="Arial" w:cs="Arial"/>
      <w:b/>
      <w:bCs/>
      <w:sz w:val="2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F73EC"/>
  </w:style>
  <w:style w:type="character" w:customStyle="1" w:styleId="WW8Num1z0">
    <w:name w:val="WW8Num1z0"/>
    <w:rsid w:val="006F73EC"/>
    <w:rPr>
      <w:rFonts w:ascii="Symbol" w:hAnsi="Symbol"/>
    </w:rPr>
  </w:style>
  <w:style w:type="character" w:customStyle="1" w:styleId="WW8Num2z0">
    <w:name w:val="WW8Num2z0"/>
    <w:rsid w:val="006F73E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F73EC"/>
    <w:rPr>
      <w:rFonts w:ascii="Symbol" w:hAnsi="Symbol"/>
    </w:rPr>
  </w:style>
  <w:style w:type="character" w:customStyle="1" w:styleId="WW8Num4z0">
    <w:name w:val="WW8Num4z0"/>
    <w:rsid w:val="006F73E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F73EC"/>
  </w:style>
  <w:style w:type="character" w:customStyle="1" w:styleId="WW8Num5z0">
    <w:name w:val="WW8Num5z0"/>
    <w:rsid w:val="006F73E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F73EC"/>
    <w:rPr>
      <w:rFonts w:ascii="Courier New" w:hAnsi="Courier New" w:cs="Courier New"/>
    </w:rPr>
  </w:style>
  <w:style w:type="character" w:customStyle="1" w:styleId="WW8Num5z2">
    <w:name w:val="WW8Num5z2"/>
    <w:rsid w:val="006F73EC"/>
    <w:rPr>
      <w:rFonts w:ascii="Wingdings" w:hAnsi="Wingdings"/>
    </w:rPr>
  </w:style>
  <w:style w:type="character" w:customStyle="1" w:styleId="WW8Num5z3">
    <w:name w:val="WW8Num5z3"/>
    <w:rsid w:val="006F73EC"/>
    <w:rPr>
      <w:rFonts w:ascii="Symbol" w:hAnsi="Symbol"/>
    </w:rPr>
  </w:style>
  <w:style w:type="character" w:customStyle="1" w:styleId="WW8Num6z0">
    <w:name w:val="WW8Num6z0"/>
    <w:rsid w:val="006F73E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F73EC"/>
    <w:rPr>
      <w:rFonts w:ascii="Courier New" w:hAnsi="Courier New" w:cs="Courier New"/>
    </w:rPr>
  </w:style>
  <w:style w:type="character" w:customStyle="1" w:styleId="WW8Num6z2">
    <w:name w:val="WW8Num6z2"/>
    <w:rsid w:val="006F73EC"/>
    <w:rPr>
      <w:rFonts w:ascii="Wingdings" w:hAnsi="Wingdings"/>
    </w:rPr>
  </w:style>
  <w:style w:type="character" w:customStyle="1" w:styleId="WW8Num6z3">
    <w:name w:val="WW8Num6z3"/>
    <w:rsid w:val="006F73EC"/>
    <w:rPr>
      <w:rFonts w:ascii="Symbol" w:hAnsi="Symbol"/>
    </w:rPr>
  </w:style>
  <w:style w:type="character" w:customStyle="1" w:styleId="30">
    <w:name w:val="Основной шрифт абзаца3"/>
    <w:rsid w:val="006F73EC"/>
  </w:style>
  <w:style w:type="character" w:customStyle="1" w:styleId="WW-Absatz-Standardschriftart">
    <w:name w:val="WW-Absatz-Standardschriftart"/>
    <w:rsid w:val="006F73EC"/>
  </w:style>
  <w:style w:type="character" w:customStyle="1" w:styleId="WW-Absatz-Standardschriftart1">
    <w:name w:val="WW-Absatz-Standardschriftart1"/>
    <w:rsid w:val="006F73EC"/>
  </w:style>
  <w:style w:type="character" w:customStyle="1" w:styleId="WW8Num2z1">
    <w:name w:val="WW8Num2z1"/>
    <w:rsid w:val="006F73EC"/>
    <w:rPr>
      <w:rFonts w:ascii="Courier New" w:hAnsi="Courier New" w:cs="Courier New"/>
    </w:rPr>
  </w:style>
  <w:style w:type="character" w:customStyle="1" w:styleId="WW8Num2z2">
    <w:name w:val="WW8Num2z2"/>
    <w:rsid w:val="006F73EC"/>
    <w:rPr>
      <w:rFonts w:ascii="Wingdings" w:hAnsi="Wingdings"/>
    </w:rPr>
  </w:style>
  <w:style w:type="character" w:customStyle="1" w:styleId="WW8Num2z3">
    <w:name w:val="WW8Num2z3"/>
    <w:rsid w:val="006F73EC"/>
    <w:rPr>
      <w:rFonts w:ascii="Symbol" w:hAnsi="Symbol"/>
    </w:rPr>
  </w:style>
  <w:style w:type="character" w:customStyle="1" w:styleId="WW8Num3z1">
    <w:name w:val="WW8Num3z1"/>
    <w:rsid w:val="006F73EC"/>
    <w:rPr>
      <w:rFonts w:ascii="Courier New" w:hAnsi="Courier New" w:cs="Courier New"/>
    </w:rPr>
  </w:style>
  <w:style w:type="character" w:customStyle="1" w:styleId="WW8Num3z2">
    <w:name w:val="WW8Num3z2"/>
    <w:rsid w:val="006F73EC"/>
    <w:rPr>
      <w:rFonts w:ascii="Wingdings" w:hAnsi="Wingdings"/>
    </w:rPr>
  </w:style>
  <w:style w:type="character" w:customStyle="1" w:styleId="21">
    <w:name w:val="Основной шрифт абзаца2"/>
    <w:rsid w:val="006F73EC"/>
  </w:style>
  <w:style w:type="character" w:customStyle="1" w:styleId="12">
    <w:name w:val="Основной шрифт абзаца1"/>
    <w:rsid w:val="006F73EC"/>
  </w:style>
  <w:style w:type="character" w:customStyle="1" w:styleId="a6">
    <w:name w:val="Символ нумерации"/>
    <w:rsid w:val="006F73EC"/>
  </w:style>
  <w:style w:type="character" w:customStyle="1" w:styleId="a7">
    <w:name w:val="Маркеры списка"/>
    <w:rsid w:val="006F73E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6F73E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semiHidden/>
    <w:rsid w:val="006F73EC"/>
    <w:pPr>
      <w:suppressAutoHyphens/>
      <w:spacing w:after="0" w:line="240" w:lineRule="auto"/>
      <w:ind w:right="-54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F73E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b">
    <w:name w:val="List"/>
    <w:basedOn w:val="a9"/>
    <w:semiHidden/>
    <w:rsid w:val="006F73EC"/>
    <w:rPr>
      <w:rFonts w:cs="Tahoma"/>
    </w:rPr>
  </w:style>
  <w:style w:type="paragraph" w:customStyle="1" w:styleId="31">
    <w:name w:val="Название3"/>
    <w:basedOn w:val="a"/>
    <w:rsid w:val="006F73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6F73E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6F73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F73E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F73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F73E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rsid w:val="006F73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6F73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F73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6F73EC"/>
    <w:pPr>
      <w:jc w:val="center"/>
    </w:pPr>
    <w:rPr>
      <w:b/>
      <w:bCs/>
    </w:rPr>
  </w:style>
  <w:style w:type="character" w:customStyle="1" w:styleId="15">
    <w:name w:val="Текст выноски Знак1"/>
    <w:basedOn w:val="a0"/>
    <w:rsid w:val="006F73EC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6">
    <w:name w:val="Сетка таблицы1"/>
    <w:basedOn w:val="a1"/>
    <w:next w:val="a5"/>
    <w:uiPriority w:val="59"/>
    <w:rsid w:val="006F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6F73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F73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footer"/>
    <w:basedOn w:val="a"/>
    <w:link w:val="af3"/>
    <w:uiPriority w:val="99"/>
    <w:unhideWhenUsed/>
    <w:rsid w:val="006F73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F73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rmal (Web)"/>
    <w:basedOn w:val="a"/>
    <w:uiPriority w:val="99"/>
    <w:unhideWhenUsed/>
    <w:rsid w:val="006F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73EC"/>
  </w:style>
  <w:style w:type="paragraph" w:styleId="af5">
    <w:name w:val="No Spacing"/>
    <w:uiPriority w:val="1"/>
    <w:qFormat/>
    <w:rsid w:val="006F7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6F73EC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6F73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6F7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6F7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5"/>
    <w:uiPriority w:val="59"/>
    <w:rsid w:val="006F7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F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6F73EC"/>
    <w:rPr>
      <w:color w:val="0000FF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6F73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F73EC"/>
  </w:style>
  <w:style w:type="paragraph" w:styleId="af9">
    <w:name w:val="List Paragraph"/>
    <w:basedOn w:val="a"/>
    <w:uiPriority w:val="34"/>
    <w:qFormat/>
    <w:rsid w:val="006F73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687A-6B6C-440A-83F4-01D19465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9015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2019-12-05T08:12:00Z</cp:lastPrinted>
  <dcterms:created xsi:type="dcterms:W3CDTF">2020-01-20T12:47:00Z</dcterms:created>
  <dcterms:modified xsi:type="dcterms:W3CDTF">2020-01-20T12:47:00Z</dcterms:modified>
</cp:coreProperties>
</file>